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jc w:val="left"/>
        <w:rPr>
          <w:rFonts w:ascii="黑体" w:hAnsi="黑体" w:eastAsia="黑体" w:cs="宋体"/>
          <w:bCs/>
          <w:color w:val="333333"/>
          <w:kern w:val="0"/>
          <w:sz w:val="32"/>
          <w:szCs w:val="32"/>
        </w:rPr>
      </w:pPr>
      <w:r>
        <w:rPr>
          <w:rFonts w:hint="eastAsia" w:ascii="黑体" w:hAnsi="黑体" w:eastAsia="黑体" w:cs="宋体"/>
          <w:bCs/>
          <w:color w:val="333333"/>
          <w:kern w:val="0"/>
          <w:sz w:val="32"/>
          <w:szCs w:val="32"/>
        </w:rPr>
        <w:t>附件4：</w:t>
      </w:r>
    </w:p>
    <w:p>
      <w:pPr>
        <w:spacing w:line="560" w:lineRule="exact"/>
        <w:jc w:val="center"/>
        <w:rPr>
          <w:rFonts w:ascii="方正小标宋简体" w:hAnsi="仿宋" w:eastAsia="方正小标宋简体"/>
          <w:color w:val="000000"/>
          <w:sz w:val="44"/>
          <w:szCs w:val="36"/>
          <w:shd w:val="clear" w:color="auto" w:fill="FFFFFF"/>
        </w:rPr>
      </w:pPr>
      <w:r>
        <w:rPr>
          <w:rFonts w:hint="eastAsia" w:ascii="方正小标宋简体" w:hAnsi="仿宋" w:eastAsia="方正小标宋简体"/>
          <w:color w:val="000000"/>
          <w:sz w:val="44"/>
          <w:szCs w:val="36"/>
          <w:shd w:val="clear" w:color="auto" w:fill="FFFFFF"/>
        </w:rPr>
        <w:t>2022年9月天津市全国大学英语</w:t>
      </w:r>
      <w:r>
        <w:rPr>
          <w:rFonts w:ascii="方正小标宋简体" w:hAnsi="仿宋" w:eastAsia="方正小标宋简体"/>
          <w:color w:val="000000"/>
          <w:sz w:val="44"/>
          <w:szCs w:val="36"/>
          <w:shd w:val="clear" w:color="auto" w:fill="FFFFFF"/>
        </w:rPr>
        <w:t>四六级</w:t>
      </w:r>
    </w:p>
    <w:p>
      <w:pPr>
        <w:spacing w:line="560" w:lineRule="exact"/>
        <w:jc w:val="center"/>
        <w:rPr>
          <w:rFonts w:ascii="方正小标宋简体" w:hAnsi="仿宋" w:eastAsia="方正小标宋简体"/>
          <w:color w:val="000000"/>
          <w:sz w:val="44"/>
          <w:szCs w:val="36"/>
          <w:shd w:val="clear" w:color="auto" w:fill="FFFFFF"/>
        </w:rPr>
      </w:pPr>
      <w:r>
        <w:rPr>
          <w:rFonts w:hint="eastAsia" w:ascii="方正小标宋简体" w:hAnsi="仿宋" w:eastAsia="方正小标宋简体"/>
          <w:color w:val="000000"/>
          <w:sz w:val="44"/>
          <w:szCs w:val="36"/>
          <w:shd w:val="clear" w:color="auto" w:fill="FFFFFF"/>
        </w:rPr>
        <w:t>考试笔试考生防疫与安全须知</w:t>
      </w:r>
    </w:p>
    <w:p>
      <w:pPr>
        <w:spacing w:line="560" w:lineRule="exact"/>
        <w:jc w:val="center"/>
        <w:rPr>
          <w:rFonts w:ascii="方正小标宋简体" w:hAnsi="黑体" w:eastAsia="方正小标宋简体"/>
          <w:sz w:val="36"/>
          <w:szCs w:val="36"/>
        </w:rPr>
      </w:pPr>
    </w:p>
    <w:p>
      <w:pPr>
        <w:adjustRightInd w:val="0"/>
        <w:snapToGrid w:val="0"/>
        <w:spacing w:before="62" w:beforeLines="20" w:after="62" w:afterLines="20" w:line="580" w:lineRule="exact"/>
        <w:ind w:left="-6" w:leftChars="-3" w:firstLine="640" w:firstLineChars="200"/>
        <w:jc w:val="left"/>
        <w:rPr>
          <w:rFonts w:ascii="Times New Roman" w:hAnsi="Times New Roman" w:eastAsia="仿宋_GB2312"/>
          <w:sz w:val="32"/>
          <w:szCs w:val="32"/>
        </w:rPr>
      </w:pPr>
      <w:r>
        <w:rPr>
          <w:rFonts w:hint="eastAsia" w:ascii="Times New Roman" w:hAnsi="Times New Roman" w:eastAsia="仿宋_GB2312"/>
          <w:color w:val="333333"/>
          <w:sz w:val="32"/>
          <w:szCs w:val="32"/>
        </w:rPr>
        <w:t>为做好2022年9月天津市全国大学英语</w:t>
      </w:r>
      <w:r>
        <w:rPr>
          <w:rFonts w:ascii="Times New Roman" w:hAnsi="Times New Roman" w:eastAsia="仿宋_GB2312"/>
          <w:color w:val="333333"/>
          <w:sz w:val="32"/>
          <w:szCs w:val="32"/>
        </w:rPr>
        <w:t>四六级</w:t>
      </w:r>
      <w:r>
        <w:rPr>
          <w:rFonts w:hint="eastAsia" w:ascii="Times New Roman" w:hAnsi="Times New Roman" w:eastAsia="仿宋_GB2312"/>
          <w:color w:val="333333"/>
          <w:sz w:val="32"/>
          <w:szCs w:val="32"/>
        </w:rPr>
        <w:t>考试口试（以下简称</w:t>
      </w:r>
      <w:r>
        <w:rPr>
          <w:rFonts w:ascii="Times New Roman" w:hAnsi="Times New Roman" w:eastAsia="仿宋_GB2312"/>
          <w:color w:val="333333"/>
          <w:sz w:val="32"/>
          <w:szCs w:val="32"/>
        </w:rPr>
        <w:t>四六级</w:t>
      </w:r>
      <w:r>
        <w:rPr>
          <w:rFonts w:hint="eastAsia" w:ascii="Times New Roman" w:hAnsi="Times New Roman" w:eastAsia="仿宋_GB2312"/>
          <w:color w:val="333333"/>
          <w:sz w:val="32"/>
          <w:szCs w:val="32"/>
        </w:rPr>
        <w:t>口试）防疫安全工作，</w:t>
      </w:r>
      <w:r>
        <w:rPr>
          <w:rFonts w:hint="eastAsia" w:ascii="Times New Roman" w:hAnsi="Times New Roman" w:eastAsia="仿宋_GB2312"/>
          <w:sz w:val="32"/>
          <w:szCs w:val="32"/>
        </w:rPr>
        <w:t>保障广大考生和考试工作人员的生命安全和身体健康，</w:t>
      </w:r>
      <w:r>
        <w:rPr>
          <w:rFonts w:hint="eastAsia" w:ascii="Times New Roman" w:hAnsi="Times New Roman" w:eastAsia="仿宋_GB2312"/>
          <w:sz w:val="32"/>
        </w:rPr>
        <w:t>现将</w:t>
      </w:r>
      <w:r>
        <w:rPr>
          <w:rFonts w:ascii="Times New Roman" w:hAnsi="Times New Roman" w:eastAsia="仿宋_GB2312"/>
          <w:sz w:val="32"/>
        </w:rPr>
        <w:t>有关事项通知如下：</w:t>
      </w:r>
    </w:p>
    <w:p>
      <w:pPr>
        <w:overflowPunct w:val="0"/>
        <w:spacing w:line="560" w:lineRule="exact"/>
        <w:ind w:firstLine="640" w:firstLineChars="200"/>
        <w:rPr>
          <w:rFonts w:ascii="黑体" w:hAnsi="黑体" w:eastAsia="黑体" w:cs="黑体"/>
          <w:sz w:val="32"/>
          <w:szCs w:val="32"/>
        </w:rPr>
      </w:pPr>
      <w:r>
        <w:rPr>
          <w:rFonts w:hint="eastAsia" w:ascii="黑体" w:hAnsi="黑体" w:eastAsia="黑体" w:cs="黑体"/>
          <w:sz w:val="32"/>
          <w:szCs w:val="32"/>
        </w:rPr>
        <w:t>一、考前防疫要求</w:t>
      </w:r>
    </w:p>
    <w:p>
      <w:pPr>
        <w:overflowPunct w:val="0"/>
        <w:spacing w:line="560" w:lineRule="exact"/>
        <w:ind w:firstLine="640" w:firstLineChars="200"/>
        <w:rPr>
          <w:rFonts w:ascii="楷体_GB2312" w:hAnsi="楷体_GB2312" w:eastAsia="楷体_GB2312" w:cs="楷体_GB2312"/>
          <w:sz w:val="32"/>
          <w:szCs w:val="32"/>
        </w:rPr>
      </w:pPr>
      <w:r>
        <w:rPr>
          <w:rFonts w:hint="eastAsia" w:ascii="楷体_GB2312" w:hAnsi="楷体_GB2312" w:eastAsia="楷体_GB2312" w:cs="楷体_GB2312"/>
          <w:sz w:val="32"/>
          <w:szCs w:val="32"/>
        </w:rPr>
        <w:t>（一）如实申报个人健康信息</w:t>
      </w:r>
    </w:p>
    <w:p>
      <w:pPr>
        <w:overflowPunct w:val="0"/>
        <w:spacing w:line="560" w:lineRule="exact"/>
        <w:ind w:firstLine="640" w:firstLineChars="200"/>
        <w:rPr>
          <w:rFonts w:ascii="Times New Roman" w:hAnsi="Times New Roman" w:eastAsia="仿宋_GB2312" w:cs="方正仿宋_GBK"/>
          <w:sz w:val="32"/>
          <w:szCs w:val="32"/>
        </w:rPr>
      </w:pPr>
      <w:r>
        <w:rPr>
          <w:rFonts w:hint="eastAsia" w:ascii="Times New Roman" w:hAnsi="Times New Roman" w:eastAsia="仿宋_GB2312" w:cs="方正仿宋_GBK"/>
          <w:sz w:val="32"/>
          <w:szCs w:val="32"/>
        </w:rPr>
        <w:t>1．考生须至少于考前7天（</w:t>
      </w:r>
      <w:r>
        <w:rPr>
          <w:rFonts w:ascii="Times New Roman" w:hAnsi="Times New Roman" w:eastAsia="仿宋_GB2312" w:cs="方正仿宋_GBK"/>
          <w:sz w:val="32"/>
          <w:szCs w:val="32"/>
        </w:rPr>
        <w:t>9</w:t>
      </w:r>
      <w:r>
        <w:rPr>
          <w:rFonts w:hint="eastAsia" w:ascii="Times New Roman" w:hAnsi="Times New Roman" w:eastAsia="仿宋_GB2312" w:cs="方正仿宋_GBK"/>
          <w:sz w:val="32"/>
          <w:szCs w:val="32"/>
        </w:rPr>
        <w:t>月</w:t>
      </w:r>
      <w:r>
        <w:rPr>
          <w:rFonts w:ascii="Times New Roman" w:hAnsi="Times New Roman" w:eastAsia="仿宋_GB2312" w:cs="方正仿宋_GBK"/>
          <w:sz w:val="32"/>
          <w:szCs w:val="32"/>
        </w:rPr>
        <w:t>10</w:t>
      </w:r>
      <w:r>
        <w:rPr>
          <w:rFonts w:hint="eastAsia" w:ascii="Times New Roman" w:hAnsi="Times New Roman" w:eastAsia="仿宋_GB2312" w:cs="方正仿宋_GBK"/>
          <w:sz w:val="32"/>
          <w:szCs w:val="32"/>
        </w:rPr>
        <w:t>日前）使用手机申领“天津健康码”和“通信大数据行程卡”，每日登录更新健康码状态。如因未及时准确填报而造成不能参加考试等后果的，将由考生本人承担责任。</w:t>
      </w:r>
    </w:p>
    <w:p>
      <w:pPr>
        <w:overflowPunct w:val="0"/>
        <w:spacing w:line="560" w:lineRule="exact"/>
        <w:ind w:firstLine="640" w:firstLineChars="200"/>
        <w:rPr>
          <w:rFonts w:ascii="Times New Roman" w:hAnsi="Times New Roman" w:eastAsia="仿宋_GB2312" w:cs="方正仿宋_GBK"/>
          <w:sz w:val="32"/>
          <w:szCs w:val="32"/>
        </w:rPr>
      </w:pPr>
      <w:r>
        <w:rPr>
          <w:rFonts w:hint="eastAsia" w:ascii="Times New Roman" w:hAnsi="Times New Roman" w:eastAsia="仿宋_GB2312" w:cs="方正仿宋_GBK"/>
          <w:sz w:val="32"/>
          <w:szCs w:val="32"/>
        </w:rPr>
        <w:t>2．考生须至少于考前7天（</w:t>
      </w:r>
      <w:r>
        <w:rPr>
          <w:rFonts w:ascii="Times New Roman" w:hAnsi="Times New Roman" w:eastAsia="仿宋_GB2312" w:cs="方正仿宋_GBK"/>
          <w:sz w:val="32"/>
          <w:szCs w:val="32"/>
        </w:rPr>
        <w:t>9</w:t>
      </w:r>
      <w:r>
        <w:rPr>
          <w:rFonts w:hint="eastAsia" w:ascii="Times New Roman" w:hAnsi="Times New Roman" w:eastAsia="仿宋_GB2312" w:cs="方正仿宋_GBK"/>
          <w:sz w:val="32"/>
          <w:szCs w:val="32"/>
        </w:rPr>
        <w:t>月</w:t>
      </w:r>
      <w:r>
        <w:rPr>
          <w:rFonts w:ascii="Times New Roman" w:hAnsi="Times New Roman" w:eastAsia="仿宋_GB2312" w:cs="方正仿宋_GBK"/>
          <w:sz w:val="32"/>
          <w:szCs w:val="32"/>
        </w:rPr>
        <w:t>10</w:t>
      </w:r>
      <w:r>
        <w:rPr>
          <w:rFonts w:hint="eastAsia" w:ascii="Times New Roman" w:hAnsi="Times New Roman" w:eastAsia="仿宋_GB2312" w:cs="方正仿宋_GBK"/>
          <w:sz w:val="32"/>
          <w:szCs w:val="32"/>
        </w:rPr>
        <w:t>日前）填写《</w:t>
      </w:r>
      <w:r>
        <w:rPr>
          <w:rFonts w:hint="eastAsia" w:ascii="Times New Roman" w:hAnsi="Times New Roman" w:eastAsia="仿宋_GB2312"/>
          <w:color w:val="333333"/>
          <w:sz w:val="32"/>
          <w:szCs w:val="32"/>
        </w:rPr>
        <w:t>2022年9月天津市全国大学英语</w:t>
      </w:r>
      <w:r>
        <w:rPr>
          <w:rFonts w:ascii="Times New Roman" w:hAnsi="Times New Roman" w:eastAsia="仿宋_GB2312"/>
          <w:color w:val="333333"/>
          <w:sz w:val="32"/>
          <w:szCs w:val="32"/>
        </w:rPr>
        <w:t>四六级</w:t>
      </w:r>
      <w:r>
        <w:rPr>
          <w:rFonts w:hint="eastAsia" w:ascii="Times New Roman" w:hAnsi="Times New Roman" w:eastAsia="仿宋_GB2312"/>
          <w:color w:val="333333"/>
          <w:sz w:val="32"/>
          <w:szCs w:val="32"/>
        </w:rPr>
        <w:t>考试笔试</w:t>
      </w:r>
      <w:r>
        <w:rPr>
          <w:rFonts w:hint="eastAsia" w:ascii="Times New Roman" w:hAnsi="Times New Roman" w:eastAsia="仿宋_GB2312" w:cs="方正仿宋_GBK"/>
          <w:bCs/>
          <w:sz w:val="32"/>
          <w:szCs w:val="32"/>
        </w:rPr>
        <w:t>考生健康卡及安全考试承诺书</w:t>
      </w:r>
      <w:r>
        <w:rPr>
          <w:rFonts w:hint="eastAsia" w:ascii="Times New Roman" w:hAnsi="Times New Roman" w:eastAsia="仿宋_GB2312" w:cs="方正仿宋_GBK"/>
          <w:sz w:val="32"/>
          <w:szCs w:val="32"/>
        </w:rPr>
        <w:t>》（附件1）和《流行病学调查表》（附件2），按规定如实填写健康卡和流调表，记录体温，签署安全考试承诺书，并在考试入场时交给监考人员。</w:t>
      </w:r>
    </w:p>
    <w:p>
      <w:pPr>
        <w:overflowPunct w:val="0"/>
        <w:spacing w:line="560" w:lineRule="exact"/>
        <w:ind w:firstLine="640" w:firstLineChars="200"/>
        <w:rPr>
          <w:rFonts w:ascii="楷体_GB2312" w:hAnsi="楷体_GB2312" w:eastAsia="楷体_GB2312" w:cs="楷体_GB2312"/>
          <w:sz w:val="32"/>
          <w:szCs w:val="32"/>
        </w:rPr>
      </w:pPr>
      <w:r>
        <w:rPr>
          <w:rFonts w:hint="eastAsia" w:ascii="楷体_GB2312" w:hAnsi="楷体_GB2312" w:eastAsia="楷体_GB2312" w:cs="楷体_GB2312"/>
          <w:sz w:val="32"/>
          <w:szCs w:val="32"/>
        </w:rPr>
        <w:t>（二）考前核酸检测</w:t>
      </w:r>
    </w:p>
    <w:p>
      <w:pPr>
        <w:adjustRightInd w:val="0"/>
        <w:snapToGrid w:val="0"/>
        <w:spacing w:line="560" w:lineRule="exact"/>
        <w:ind w:firstLine="640" w:firstLineChars="200"/>
        <w:rPr>
          <w:rFonts w:ascii="Times New Roman" w:hAnsi="Times New Roman" w:eastAsia="仿宋_GB2312" w:cs="方正仿宋_GBK"/>
          <w:sz w:val="32"/>
          <w:szCs w:val="32"/>
        </w:rPr>
      </w:pPr>
      <w:r>
        <w:rPr>
          <w:rFonts w:hint="eastAsia" w:ascii="Times New Roman" w:hAnsi="Times New Roman" w:eastAsia="仿宋_GB2312" w:cs="方正仿宋_GBK"/>
          <w:sz w:val="32"/>
          <w:szCs w:val="32"/>
        </w:rPr>
        <w:t>1．考生应按要求合理安排考前核酸检测时间，确保考试入场前查询到检测结果，以免影响参加考试（出具的核酸检测阴性证明时间依据采样时间计算）。核酸检测阴性证明可以为核酸检测机构出具的纸质报告或经相关有资质的APP在线实时查询调取的电子报告。</w:t>
      </w:r>
    </w:p>
    <w:p>
      <w:pPr>
        <w:adjustRightInd w:val="0"/>
        <w:snapToGrid w:val="0"/>
        <w:spacing w:line="560" w:lineRule="exact"/>
        <w:ind w:firstLine="640" w:firstLineChars="200"/>
        <w:rPr>
          <w:rFonts w:ascii="Times New Roman" w:hAnsi="Times New Roman" w:eastAsia="仿宋_GB2312" w:cs="方正仿宋_GBK"/>
          <w:b/>
          <w:bCs/>
          <w:sz w:val="32"/>
          <w:szCs w:val="32"/>
        </w:rPr>
      </w:pPr>
      <w:r>
        <w:rPr>
          <w:rFonts w:hint="eastAsia" w:ascii="Times New Roman" w:hAnsi="Times New Roman" w:eastAsia="仿宋_GB2312" w:cs="方正仿宋_GBK"/>
          <w:sz w:val="32"/>
          <w:szCs w:val="32"/>
        </w:rPr>
        <w:t>2．</w:t>
      </w:r>
      <w:r>
        <w:rPr>
          <w:rFonts w:hint="eastAsia" w:ascii="Times New Roman" w:hAnsi="Times New Roman" w:eastAsia="仿宋_GB2312"/>
          <w:color w:val="000000" w:themeColor="text1"/>
          <w:sz w:val="32"/>
          <w:szCs w:val="32"/>
          <w14:textFill>
            <w14:solidFill>
              <w14:schemeClr w14:val="tx1"/>
            </w14:solidFill>
          </w14:textFill>
        </w:rPr>
        <w:t>考前7天始终在津且可以自由流动的考生，须</w:t>
      </w:r>
      <w:r>
        <w:rPr>
          <w:rFonts w:hint="eastAsia" w:ascii="Times New Roman" w:hAnsi="Times New Roman" w:eastAsia="仿宋_GB2312" w:cs="Times New Roman"/>
          <w:color w:val="000000" w:themeColor="text1"/>
          <w:sz w:val="32"/>
          <w:szCs w:val="32"/>
          <w14:textFill>
            <w14:solidFill>
              <w14:schemeClr w14:val="tx1"/>
            </w14:solidFill>
          </w14:textFill>
        </w:rPr>
        <w:t>持考前48小时内核酸检测阴性证明参加考试。</w:t>
      </w:r>
    </w:p>
    <w:p>
      <w:pPr>
        <w:spacing w:line="560" w:lineRule="exact"/>
        <w:ind w:firstLine="640" w:firstLineChars="200"/>
        <w:rPr>
          <w:rFonts w:ascii="Times New Roman" w:hAnsi="Times New Roman" w:eastAsia="仿宋_GB2312" w:cs="Times New Roman"/>
          <w:color w:val="000000" w:themeColor="text1"/>
          <w:sz w:val="32"/>
          <w:szCs w:val="32"/>
          <w14:textFill>
            <w14:solidFill>
              <w14:schemeClr w14:val="tx1"/>
            </w14:solidFill>
          </w14:textFill>
        </w:rPr>
      </w:pPr>
      <w:r>
        <w:rPr>
          <w:rFonts w:hint="eastAsia" w:ascii="Times New Roman" w:hAnsi="Times New Roman" w:eastAsia="仿宋_GB2312" w:cs="Times New Roman"/>
          <w:color w:val="000000" w:themeColor="text1"/>
          <w:sz w:val="32"/>
          <w:szCs w:val="32"/>
          <w14:textFill>
            <w14:solidFill>
              <w14:schemeClr w14:val="tx1"/>
            </w14:solidFill>
          </w14:textFill>
        </w:rPr>
        <w:t>3</w:t>
      </w:r>
      <w:r>
        <w:rPr>
          <w:rFonts w:hint="eastAsia" w:ascii="Times New Roman" w:hAnsi="Times New Roman" w:eastAsia="仿宋_GB2312" w:cs="方正仿宋_GBK"/>
          <w:sz w:val="32"/>
          <w:szCs w:val="32"/>
        </w:rPr>
        <w:t>．</w:t>
      </w:r>
      <w:r>
        <w:rPr>
          <w:rFonts w:hint="eastAsia" w:ascii="Times New Roman" w:hAnsi="Times New Roman" w:eastAsia="仿宋_GB2312" w:cs="Times New Roman"/>
          <w:color w:val="000000" w:themeColor="text1"/>
          <w:sz w:val="32"/>
          <w:szCs w:val="32"/>
          <w14:textFill>
            <w14:solidFill>
              <w14:schemeClr w14:val="tx1"/>
            </w14:solidFill>
          </w14:textFill>
        </w:rPr>
        <w:t>考前7天内</w:t>
      </w:r>
      <w:r>
        <w:rPr>
          <w:rFonts w:hint="eastAsia" w:eastAsia="仿宋_GB2312"/>
          <w:color w:val="000000" w:themeColor="text1"/>
          <w:sz w:val="32"/>
          <w:szCs w:val="32"/>
          <w14:textFill>
            <w14:solidFill>
              <w14:schemeClr w14:val="tx1"/>
            </w14:solidFill>
          </w14:textFill>
        </w:rPr>
        <w:t>具有我市低风险区旅居史的考生，或有</w:t>
      </w:r>
      <w:bookmarkStart w:id="0" w:name="_GoBack"/>
      <w:bookmarkEnd w:id="0"/>
      <w:r>
        <w:rPr>
          <w:rFonts w:hint="eastAsia" w:ascii="Times New Roman" w:hAnsi="Times New Roman" w:eastAsia="仿宋_GB2312" w:cs="Times New Roman"/>
          <w:color w:val="000000" w:themeColor="text1"/>
          <w:sz w:val="32"/>
          <w:szCs w:val="32"/>
          <w14:textFill>
            <w14:solidFill>
              <w14:schemeClr w14:val="tx1"/>
            </w14:solidFill>
          </w14:textFill>
        </w:rPr>
        <w:t>发热</w:t>
      </w:r>
      <w:r>
        <w:rPr>
          <w:rFonts w:hint="eastAsia" w:ascii="Times New Roman" w:hAnsi="Times New Roman" w:eastAsia="仿宋_GB2312"/>
          <w:color w:val="000000" w:themeColor="text1"/>
          <w:sz w:val="32"/>
          <w:szCs w:val="32"/>
          <w14:textFill>
            <w14:solidFill>
              <w14:schemeClr w14:val="tx1"/>
            </w14:solidFill>
          </w14:textFill>
        </w:rPr>
        <w:t>、干咳、乏力、咽痛、嗅（味）觉减退、腹泻等症状的考生，经发热门诊鉴诊排除新冠病毒感染，须</w:t>
      </w:r>
      <w:r>
        <w:rPr>
          <w:rFonts w:hint="eastAsia" w:ascii="Times New Roman" w:hAnsi="Times New Roman" w:eastAsia="仿宋_GB2312" w:cs="Times New Roman"/>
          <w:color w:val="000000" w:themeColor="text1"/>
          <w:sz w:val="32"/>
          <w:szCs w:val="32"/>
          <w14:textFill>
            <w14:solidFill>
              <w14:schemeClr w14:val="tx1"/>
            </w14:solidFill>
          </w14:textFill>
        </w:rPr>
        <w:t>持考前</w:t>
      </w:r>
      <w:r>
        <w:rPr>
          <w:rFonts w:ascii="Times New Roman" w:hAnsi="Times New Roman" w:eastAsia="仿宋_GB2312"/>
          <w:color w:val="000000" w:themeColor="text1"/>
          <w:sz w:val="32"/>
          <w:szCs w:val="32"/>
          <w14:textFill>
            <w14:solidFill>
              <w14:schemeClr w14:val="tx1"/>
            </w14:solidFill>
          </w14:textFill>
        </w:rPr>
        <w:t>72</w:t>
      </w:r>
      <w:r>
        <w:rPr>
          <w:rFonts w:hint="eastAsia" w:ascii="Times New Roman" w:hAnsi="Times New Roman" w:eastAsia="仿宋_GB2312"/>
          <w:color w:val="000000" w:themeColor="text1"/>
          <w:sz w:val="32"/>
          <w:szCs w:val="32"/>
          <w14:textFill>
            <w14:solidFill>
              <w14:schemeClr w14:val="tx1"/>
            </w14:solidFill>
          </w14:textFill>
        </w:rPr>
        <w:t>小时内两次核酸阴性证明（考前2</w:t>
      </w:r>
      <w:r>
        <w:rPr>
          <w:rFonts w:ascii="Times New Roman" w:hAnsi="Times New Roman" w:eastAsia="仿宋_GB2312"/>
          <w:color w:val="000000" w:themeColor="text1"/>
          <w:sz w:val="32"/>
          <w:szCs w:val="32"/>
          <w14:textFill>
            <w14:solidFill>
              <w14:schemeClr w14:val="tx1"/>
            </w14:solidFill>
          </w14:textFill>
        </w:rPr>
        <w:t>4</w:t>
      </w:r>
      <w:r>
        <w:rPr>
          <w:rFonts w:hint="eastAsia" w:ascii="Times New Roman" w:hAnsi="Times New Roman" w:eastAsia="仿宋_GB2312"/>
          <w:color w:val="000000" w:themeColor="text1"/>
          <w:sz w:val="32"/>
          <w:szCs w:val="32"/>
          <w14:textFill>
            <w14:solidFill>
              <w14:schemeClr w14:val="tx1"/>
            </w14:solidFill>
          </w14:textFill>
        </w:rPr>
        <w:t>小时一次，且两次间隔须超过2</w:t>
      </w:r>
      <w:r>
        <w:rPr>
          <w:rFonts w:ascii="Times New Roman" w:hAnsi="Times New Roman" w:eastAsia="仿宋_GB2312"/>
          <w:color w:val="000000" w:themeColor="text1"/>
          <w:sz w:val="32"/>
          <w:szCs w:val="32"/>
          <w14:textFill>
            <w14:solidFill>
              <w14:schemeClr w14:val="tx1"/>
            </w14:solidFill>
          </w14:textFill>
        </w:rPr>
        <w:t>4</w:t>
      </w:r>
      <w:r>
        <w:rPr>
          <w:rFonts w:hint="eastAsia" w:ascii="Times New Roman" w:hAnsi="Times New Roman" w:eastAsia="仿宋_GB2312"/>
          <w:color w:val="000000" w:themeColor="text1"/>
          <w:sz w:val="32"/>
          <w:szCs w:val="32"/>
          <w14:textFill>
            <w14:solidFill>
              <w14:schemeClr w14:val="tx1"/>
            </w14:solidFill>
          </w14:textFill>
        </w:rPr>
        <w:t>小时）</w:t>
      </w:r>
      <w:r>
        <w:rPr>
          <w:rFonts w:hint="eastAsia" w:ascii="Times New Roman" w:hAnsi="Times New Roman" w:eastAsia="仿宋_GB2312" w:cs="Times New Roman"/>
          <w:color w:val="000000" w:themeColor="text1"/>
          <w:sz w:val="32"/>
          <w:szCs w:val="32"/>
          <w14:textFill>
            <w14:solidFill>
              <w14:schemeClr w14:val="tx1"/>
            </w14:solidFill>
          </w14:textFill>
        </w:rPr>
        <w:t>参加考试。</w:t>
      </w:r>
    </w:p>
    <w:p>
      <w:pPr>
        <w:spacing w:line="560" w:lineRule="exact"/>
        <w:ind w:firstLine="640" w:firstLineChars="200"/>
        <w:rPr>
          <w:rFonts w:ascii="Times New Roman" w:hAnsi="Times New Roman" w:eastAsia="仿宋_GB2312" w:cs="Times New Roman"/>
          <w:color w:val="000000" w:themeColor="text1"/>
          <w:sz w:val="32"/>
          <w:szCs w:val="32"/>
          <w14:textFill>
            <w14:solidFill>
              <w14:schemeClr w14:val="tx1"/>
            </w14:solidFill>
          </w14:textFill>
        </w:rPr>
      </w:pPr>
      <w:r>
        <w:rPr>
          <w:rFonts w:hint="eastAsia" w:ascii="Times New Roman" w:hAnsi="Times New Roman" w:eastAsia="仿宋_GB2312" w:cs="Times New Roman"/>
          <w:bCs/>
          <w:color w:val="000000" w:themeColor="text1"/>
          <w:sz w:val="32"/>
          <w:szCs w:val="32"/>
          <w14:textFill>
            <w14:solidFill>
              <w14:schemeClr w14:val="tx1"/>
            </w14:solidFill>
          </w14:textFill>
        </w:rPr>
        <w:t>4</w:t>
      </w:r>
      <w:r>
        <w:rPr>
          <w:rFonts w:hint="eastAsia" w:ascii="Times New Roman" w:hAnsi="Times New Roman" w:eastAsia="仿宋_GB2312" w:cs="方正仿宋_GBK"/>
          <w:sz w:val="32"/>
          <w:szCs w:val="32"/>
        </w:rPr>
        <w:t>．</w:t>
      </w:r>
      <w:r>
        <w:rPr>
          <w:rFonts w:hint="eastAsia" w:ascii="Times New Roman" w:hAnsi="Times New Roman" w:eastAsia="仿宋_GB2312" w:cs="Times New Roman"/>
          <w:bCs/>
          <w:color w:val="000000" w:themeColor="text1"/>
          <w:sz w:val="32"/>
          <w:szCs w:val="32"/>
          <w14:textFill>
            <w14:solidFill>
              <w14:schemeClr w14:val="tx1"/>
            </w14:solidFill>
          </w14:textFill>
        </w:rPr>
        <w:t>自低风险区（以国务院客户端每日发布为准）</w:t>
      </w:r>
      <w:r>
        <w:rPr>
          <w:rFonts w:hint="eastAsia" w:ascii="Times New Roman" w:hAnsi="Times New Roman" w:eastAsia="仿宋_GB2312"/>
          <w:color w:val="000000" w:themeColor="text1"/>
          <w:sz w:val="32"/>
          <w:szCs w:val="32"/>
          <w14:textFill>
            <w14:solidFill>
              <w14:schemeClr w14:val="tx1"/>
            </w14:solidFill>
          </w14:textFill>
        </w:rPr>
        <w:t>抵津考生，须按照本市要求履行报备手续后</w:t>
      </w:r>
      <w:r>
        <w:rPr>
          <w:rFonts w:hint="eastAsia" w:ascii="Times New Roman" w:hAnsi="Times New Roman" w:eastAsia="仿宋_GB2312" w:cs="Times New Roman"/>
          <w:bCs/>
          <w:color w:val="000000" w:themeColor="text1"/>
          <w:sz w:val="32"/>
          <w:szCs w:val="32"/>
          <w14:textFill>
            <w14:solidFill>
              <w14:schemeClr w14:val="tx1"/>
            </w14:solidFill>
          </w14:textFill>
        </w:rPr>
        <w:t>，</w:t>
      </w:r>
      <w:r>
        <w:rPr>
          <w:rFonts w:hint="eastAsia" w:ascii="Times New Roman" w:hAnsi="Times New Roman" w:eastAsia="仿宋_GB2312" w:cs="Times New Roman"/>
          <w:color w:val="000000" w:themeColor="text1"/>
          <w:sz w:val="32"/>
          <w:szCs w:val="32"/>
          <w14:textFill>
            <w14:solidFill>
              <w14:schemeClr w14:val="tx1"/>
            </w14:solidFill>
          </w14:textFill>
        </w:rPr>
        <w:t>持考前</w:t>
      </w:r>
      <w:r>
        <w:rPr>
          <w:rFonts w:ascii="Times New Roman" w:hAnsi="Times New Roman" w:eastAsia="仿宋_GB2312"/>
          <w:color w:val="000000" w:themeColor="text1"/>
          <w:sz w:val="32"/>
          <w:szCs w:val="32"/>
          <w14:textFill>
            <w14:solidFill>
              <w14:schemeClr w14:val="tx1"/>
            </w14:solidFill>
          </w14:textFill>
        </w:rPr>
        <w:t>72</w:t>
      </w:r>
      <w:r>
        <w:rPr>
          <w:rFonts w:hint="eastAsia" w:ascii="Times New Roman" w:hAnsi="Times New Roman" w:eastAsia="仿宋_GB2312"/>
          <w:color w:val="000000" w:themeColor="text1"/>
          <w:sz w:val="32"/>
          <w:szCs w:val="32"/>
          <w14:textFill>
            <w14:solidFill>
              <w14:schemeClr w14:val="tx1"/>
            </w14:solidFill>
          </w14:textFill>
        </w:rPr>
        <w:t>小时内两次核酸阴性证明（考前2</w:t>
      </w:r>
      <w:r>
        <w:rPr>
          <w:rFonts w:ascii="Times New Roman" w:hAnsi="Times New Roman" w:eastAsia="仿宋_GB2312"/>
          <w:color w:val="000000" w:themeColor="text1"/>
          <w:sz w:val="32"/>
          <w:szCs w:val="32"/>
          <w14:textFill>
            <w14:solidFill>
              <w14:schemeClr w14:val="tx1"/>
            </w14:solidFill>
          </w14:textFill>
        </w:rPr>
        <w:t>4</w:t>
      </w:r>
      <w:r>
        <w:rPr>
          <w:rFonts w:hint="eastAsia" w:ascii="Times New Roman" w:hAnsi="Times New Roman" w:eastAsia="仿宋_GB2312"/>
          <w:color w:val="000000" w:themeColor="text1"/>
          <w:sz w:val="32"/>
          <w:szCs w:val="32"/>
          <w14:textFill>
            <w14:solidFill>
              <w14:schemeClr w14:val="tx1"/>
            </w14:solidFill>
          </w14:textFill>
        </w:rPr>
        <w:t>小时一次，且两次间隔须超过2</w:t>
      </w:r>
      <w:r>
        <w:rPr>
          <w:rFonts w:ascii="Times New Roman" w:hAnsi="Times New Roman" w:eastAsia="仿宋_GB2312"/>
          <w:color w:val="000000" w:themeColor="text1"/>
          <w:sz w:val="32"/>
          <w:szCs w:val="32"/>
          <w14:textFill>
            <w14:solidFill>
              <w14:schemeClr w14:val="tx1"/>
            </w14:solidFill>
          </w14:textFill>
        </w:rPr>
        <w:t>4</w:t>
      </w:r>
      <w:r>
        <w:rPr>
          <w:rFonts w:hint="eastAsia" w:ascii="Times New Roman" w:hAnsi="Times New Roman" w:eastAsia="仿宋_GB2312"/>
          <w:color w:val="000000" w:themeColor="text1"/>
          <w:sz w:val="32"/>
          <w:szCs w:val="32"/>
          <w14:textFill>
            <w14:solidFill>
              <w14:schemeClr w14:val="tx1"/>
            </w14:solidFill>
          </w14:textFill>
        </w:rPr>
        <w:t>小时）</w:t>
      </w:r>
      <w:r>
        <w:rPr>
          <w:rFonts w:hint="eastAsia" w:ascii="Times New Roman" w:hAnsi="Times New Roman" w:eastAsia="仿宋_GB2312" w:cs="Times New Roman"/>
          <w:color w:val="000000" w:themeColor="text1"/>
          <w:sz w:val="32"/>
          <w:szCs w:val="32"/>
          <w14:textFill>
            <w14:solidFill>
              <w14:schemeClr w14:val="tx1"/>
            </w14:solidFill>
          </w14:textFill>
        </w:rPr>
        <w:t>参加考试。</w:t>
      </w:r>
    </w:p>
    <w:p>
      <w:pPr>
        <w:spacing w:line="560" w:lineRule="exact"/>
        <w:ind w:firstLine="640" w:firstLineChars="200"/>
        <w:rPr>
          <w:rFonts w:ascii="Times New Roman" w:hAnsi="Times New Roman" w:eastAsia="仿宋_GB2312" w:cs="Times New Roman"/>
          <w:color w:val="000000" w:themeColor="text1"/>
          <w:sz w:val="32"/>
          <w:szCs w:val="32"/>
          <w14:textFill>
            <w14:solidFill>
              <w14:schemeClr w14:val="tx1"/>
            </w14:solidFill>
          </w14:textFill>
        </w:rPr>
      </w:pPr>
      <w:r>
        <w:rPr>
          <w:rFonts w:hint="eastAsia" w:ascii="Times New Roman" w:hAnsi="Times New Roman" w:eastAsia="仿宋_GB2312" w:cs="Times New Roman"/>
          <w:bCs/>
          <w:sz w:val="32"/>
          <w:szCs w:val="32"/>
        </w:rPr>
        <w:t>5</w:t>
      </w:r>
      <w:r>
        <w:rPr>
          <w:rFonts w:hint="eastAsia" w:ascii="Times New Roman" w:hAnsi="Times New Roman" w:eastAsia="仿宋_GB2312" w:cs="方正仿宋_GBK"/>
          <w:sz w:val="32"/>
          <w:szCs w:val="32"/>
        </w:rPr>
        <w:t>．</w:t>
      </w:r>
      <w:r>
        <w:rPr>
          <w:rFonts w:hint="eastAsia" w:ascii="Times New Roman" w:hAnsi="Times New Roman" w:eastAsia="仿宋_GB2312" w:cs="Times New Roman"/>
          <w:bCs/>
          <w:sz w:val="32"/>
          <w:szCs w:val="32"/>
        </w:rPr>
        <w:t>具有</w:t>
      </w:r>
      <w:r>
        <w:rPr>
          <w:rFonts w:hint="eastAsia" w:ascii="Times New Roman" w:hAnsi="Times New Roman" w:eastAsia="仿宋_GB2312"/>
          <w:sz w:val="32"/>
          <w:szCs w:val="32"/>
        </w:rPr>
        <w:t>中高风险区（以国务院客户端每日发布为准）、市防控指挥部确定的重点涉疫区和发生本土疫情所在县及感染者关联轨迹区</w:t>
      </w:r>
      <w:r>
        <w:rPr>
          <w:rFonts w:hint="eastAsia" w:ascii="Times New Roman" w:hAnsi="Times New Roman" w:eastAsia="仿宋_GB2312" w:cs="Times New Roman"/>
          <w:bCs/>
          <w:color w:val="000000" w:themeColor="text1"/>
          <w:sz w:val="32"/>
          <w:szCs w:val="32"/>
          <w14:textFill>
            <w14:solidFill>
              <w14:schemeClr w14:val="tx1"/>
            </w14:solidFill>
          </w14:textFill>
        </w:rPr>
        <w:t>旅居史</w:t>
      </w:r>
      <w:r>
        <w:rPr>
          <w:rFonts w:hint="eastAsia" w:ascii="Times New Roman" w:hAnsi="Times New Roman" w:eastAsia="仿宋_GB2312"/>
          <w:color w:val="000000" w:themeColor="text1"/>
          <w:sz w:val="32"/>
          <w:szCs w:val="32"/>
          <w14:textFill>
            <w14:solidFill>
              <w14:schemeClr w14:val="tx1"/>
            </w14:solidFill>
          </w14:textFill>
        </w:rPr>
        <w:t>的考生，除按照我市要求履行报备手续外，</w:t>
      </w:r>
      <w:r>
        <w:rPr>
          <w:rFonts w:hint="eastAsia" w:ascii="Times New Roman" w:hAnsi="Times New Roman" w:eastAsia="仿宋_GB2312"/>
          <w:sz w:val="32"/>
          <w:szCs w:val="32"/>
        </w:rPr>
        <w:t>还</w:t>
      </w:r>
      <w:r>
        <w:rPr>
          <w:rFonts w:hint="eastAsia" w:ascii="Times New Roman" w:hAnsi="Times New Roman" w:eastAsia="仿宋_GB2312" w:cs="Times New Roman"/>
          <w:bCs/>
          <w:sz w:val="32"/>
          <w:szCs w:val="32"/>
        </w:rPr>
        <w:t>应严格按照我市</w:t>
      </w:r>
      <w:r>
        <w:rPr>
          <w:rFonts w:hint="eastAsia" w:ascii="Times New Roman" w:hAnsi="Times New Roman" w:eastAsia="仿宋_GB2312"/>
          <w:sz w:val="32"/>
          <w:szCs w:val="32"/>
        </w:rPr>
        <w:t>疫情防控</w:t>
      </w:r>
      <w:r>
        <w:rPr>
          <w:rFonts w:hint="eastAsia" w:ascii="Times New Roman" w:hAnsi="Times New Roman" w:eastAsia="仿宋_GB2312" w:cs="Times New Roman"/>
          <w:sz w:val="32"/>
          <w:szCs w:val="32"/>
        </w:rPr>
        <w:t>规定执行隔离管控措施（</w:t>
      </w:r>
      <w:r>
        <w:rPr>
          <w:rFonts w:hint="eastAsia" w:ascii="Times New Roman" w:hAnsi="Times New Roman" w:eastAsia="仿宋_GB2312"/>
          <w:color w:val="000000" w:themeColor="text1"/>
          <w:sz w:val="32"/>
          <w:szCs w:val="32"/>
          <w14:textFill>
            <w14:solidFill>
              <w14:schemeClr w14:val="tx1"/>
            </w14:solidFill>
          </w14:textFill>
        </w:rPr>
        <w:t>以津云客户端每日发布为准</w:t>
      </w:r>
      <w:r>
        <w:rPr>
          <w:rFonts w:hint="eastAsia" w:ascii="Times New Roman" w:hAnsi="Times New Roman" w:eastAsia="仿宋_GB2312" w:cs="Times New Roman"/>
          <w:sz w:val="32"/>
          <w:szCs w:val="32"/>
        </w:rPr>
        <w:t>）。</w:t>
      </w:r>
      <w:r>
        <w:rPr>
          <w:rFonts w:hint="eastAsia" w:ascii="Times New Roman" w:hAnsi="Times New Roman" w:eastAsia="仿宋_GB2312" w:cs="Times New Roman"/>
          <w:color w:val="000000" w:themeColor="text1"/>
          <w:sz w:val="32"/>
          <w:szCs w:val="32"/>
          <w14:textFill>
            <w14:solidFill>
              <w14:schemeClr w14:val="tx1"/>
            </w14:solidFill>
          </w14:textFill>
        </w:rPr>
        <w:t>管控措施解除后，持考前</w:t>
      </w:r>
      <w:r>
        <w:rPr>
          <w:rFonts w:ascii="Times New Roman" w:hAnsi="Times New Roman" w:eastAsia="仿宋_GB2312"/>
          <w:color w:val="000000" w:themeColor="text1"/>
          <w:sz w:val="32"/>
          <w:szCs w:val="32"/>
          <w14:textFill>
            <w14:solidFill>
              <w14:schemeClr w14:val="tx1"/>
            </w14:solidFill>
          </w14:textFill>
        </w:rPr>
        <w:t>72</w:t>
      </w:r>
      <w:r>
        <w:rPr>
          <w:rFonts w:hint="eastAsia" w:ascii="Times New Roman" w:hAnsi="Times New Roman" w:eastAsia="仿宋_GB2312"/>
          <w:color w:val="000000" w:themeColor="text1"/>
          <w:sz w:val="32"/>
          <w:szCs w:val="32"/>
          <w14:textFill>
            <w14:solidFill>
              <w14:schemeClr w14:val="tx1"/>
            </w14:solidFill>
          </w14:textFill>
        </w:rPr>
        <w:t>小时内两次核酸阴性证明（考前2</w:t>
      </w:r>
      <w:r>
        <w:rPr>
          <w:rFonts w:ascii="Times New Roman" w:hAnsi="Times New Roman" w:eastAsia="仿宋_GB2312"/>
          <w:color w:val="000000" w:themeColor="text1"/>
          <w:sz w:val="32"/>
          <w:szCs w:val="32"/>
          <w14:textFill>
            <w14:solidFill>
              <w14:schemeClr w14:val="tx1"/>
            </w14:solidFill>
          </w14:textFill>
        </w:rPr>
        <w:t>4</w:t>
      </w:r>
      <w:r>
        <w:rPr>
          <w:rFonts w:hint="eastAsia" w:ascii="Times New Roman" w:hAnsi="Times New Roman" w:eastAsia="仿宋_GB2312"/>
          <w:color w:val="000000" w:themeColor="text1"/>
          <w:sz w:val="32"/>
          <w:szCs w:val="32"/>
          <w14:textFill>
            <w14:solidFill>
              <w14:schemeClr w14:val="tx1"/>
            </w14:solidFill>
          </w14:textFill>
        </w:rPr>
        <w:t>小时一次，且两次间隔须超过2</w:t>
      </w:r>
      <w:r>
        <w:rPr>
          <w:rFonts w:ascii="Times New Roman" w:hAnsi="Times New Roman" w:eastAsia="仿宋_GB2312"/>
          <w:color w:val="000000" w:themeColor="text1"/>
          <w:sz w:val="32"/>
          <w:szCs w:val="32"/>
          <w14:textFill>
            <w14:solidFill>
              <w14:schemeClr w14:val="tx1"/>
            </w14:solidFill>
          </w14:textFill>
        </w:rPr>
        <w:t>4</w:t>
      </w:r>
      <w:r>
        <w:rPr>
          <w:rFonts w:hint="eastAsia" w:ascii="Times New Roman" w:hAnsi="Times New Roman" w:eastAsia="仿宋_GB2312"/>
          <w:color w:val="000000" w:themeColor="text1"/>
          <w:sz w:val="32"/>
          <w:szCs w:val="32"/>
          <w14:textFill>
            <w14:solidFill>
              <w14:schemeClr w14:val="tx1"/>
            </w14:solidFill>
          </w14:textFill>
        </w:rPr>
        <w:t>小时）</w:t>
      </w:r>
      <w:r>
        <w:rPr>
          <w:rFonts w:hint="eastAsia" w:ascii="Times New Roman" w:hAnsi="Times New Roman" w:eastAsia="仿宋_GB2312" w:cs="Times New Roman"/>
          <w:color w:val="000000" w:themeColor="text1"/>
          <w:sz w:val="32"/>
          <w:szCs w:val="32"/>
          <w14:textFill>
            <w14:solidFill>
              <w14:schemeClr w14:val="tx1"/>
            </w14:solidFill>
          </w14:textFill>
        </w:rPr>
        <w:t>参加考试。</w:t>
      </w:r>
    </w:p>
    <w:p>
      <w:pPr>
        <w:spacing w:line="560" w:lineRule="exact"/>
        <w:ind w:firstLine="640" w:firstLineChars="200"/>
        <w:rPr>
          <w:rFonts w:ascii="黑体" w:hAnsi="黑体" w:eastAsia="黑体" w:cs="黑体"/>
          <w:sz w:val="32"/>
          <w:szCs w:val="32"/>
        </w:rPr>
      </w:pPr>
      <w:r>
        <w:rPr>
          <w:rFonts w:hint="eastAsia" w:ascii="黑体" w:hAnsi="黑体" w:eastAsia="黑体" w:cs="黑体"/>
          <w:sz w:val="32"/>
          <w:szCs w:val="32"/>
        </w:rPr>
        <w:t>二、考试注意事项</w:t>
      </w:r>
    </w:p>
    <w:p>
      <w:pPr>
        <w:overflowPunct w:val="0"/>
        <w:spacing w:line="560" w:lineRule="exact"/>
        <w:ind w:firstLine="640" w:firstLineChars="200"/>
        <w:rPr>
          <w:rFonts w:ascii="Times New Roman" w:hAnsi="Times New Roman" w:eastAsia="仿宋_GB2312" w:cs="方正仿宋_GBK"/>
          <w:sz w:val="32"/>
          <w:szCs w:val="32"/>
        </w:rPr>
      </w:pPr>
      <w:r>
        <w:rPr>
          <w:rFonts w:hint="eastAsia" w:ascii="Times New Roman" w:hAnsi="Times New Roman" w:eastAsia="仿宋_GB2312" w:cs="方正仿宋_GBK"/>
          <w:sz w:val="32"/>
          <w:szCs w:val="32"/>
        </w:rPr>
        <w:t>（一）参加考试须确保证件材料齐全，进入考点参加考试所需证件、材料包括：①考生准考证；②有效身份证件；③通信大数据行程卡“绿卡”；④实时天津健康码“绿码”；⑤规定时效内的核酸检测阴性证明；⑥填写完整的考生健康卡及承诺书；⑦流行病学调查表。</w:t>
      </w:r>
    </w:p>
    <w:p>
      <w:pPr>
        <w:overflowPunct w:val="0"/>
        <w:spacing w:line="560" w:lineRule="exact"/>
        <w:ind w:firstLine="640" w:firstLineChars="200"/>
        <w:rPr>
          <w:rFonts w:ascii="Times New Roman" w:hAnsi="Times New Roman" w:eastAsia="仿宋_GB2312" w:cs="方正仿宋_GBK"/>
          <w:sz w:val="32"/>
          <w:szCs w:val="32"/>
        </w:rPr>
      </w:pPr>
      <w:r>
        <w:rPr>
          <w:rFonts w:hint="eastAsia" w:ascii="Times New Roman" w:hAnsi="Times New Roman" w:eastAsia="仿宋_GB2312" w:cs="方正仿宋_GBK"/>
          <w:sz w:val="32"/>
          <w:szCs w:val="32"/>
        </w:rPr>
        <w:t>（二）考生须遵守考点疫情防控相关规定，积极配合健康检查和登记，如遇突发情况须听从考点工作人员安排。考试当日考生应预留充足的时间，提前到达考点以免影响考试。</w:t>
      </w:r>
    </w:p>
    <w:p>
      <w:pPr>
        <w:spacing w:line="560" w:lineRule="exact"/>
        <w:ind w:firstLine="640" w:firstLineChars="200"/>
        <w:rPr>
          <w:rFonts w:ascii="Times New Roman" w:hAnsi="Times New Roman" w:eastAsia="仿宋_GB2312" w:cs="方正仿宋_GBK"/>
          <w:sz w:val="32"/>
          <w:szCs w:val="32"/>
        </w:rPr>
      </w:pPr>
      <w:r>
        <w:rPr>
          <w:rFonts w:hint="eastAsia" w:ascii="Times New Roman" w:hAnsi="Times New Roman" w:eastAsia="仿宋_GB2312" w:cs="方正仿宋_GBK"/>
          <w:sz w:val="32"/>
          <w:szCs w:val="32"/>
        </w:rPr>
        <w:t>（三）考生可将消毒纸巾等个人防护用品带入考场，除核验身份外，全程佩戴一次性医用口罩或医用外科口罩。</w:t>
      </w:r>
    </w:p>
    <w:p>
      <w:pPr>
        <w:overflowPunct w:val="0"/>
        <w:spacing w:line="560" w:lineRule="exact"/>
        <w:ind w:firstLine="640" w:firstLineChars="200"/>
        <w:rPr>
          <w:rFonts w:ascii="Times New Roman" w:hAnsi="Times New Roman" w:eastAsia="仿宋_GB2312" w:cs="方正仿宋_GBK"/>
          <w:sz w:val="32"/>
          <w:szCs w:val="32"/>
        </w:rPr>
      </w:pPr>
      <w:r>
        <w:rPr>
          <w:rFonts w:hint="eastAsia" w:ascii="Times New Roman" w:hAnsi="Times New Roman" w:eastAsia="仿宋_GB2312" w:cs="方正仿宋_GBK"/>
          <w:sz w:val="32"/>
          <w:szCs w:val="32"/>
        </w:rPr>
        <w:t>（四）考生须听从考点工作人员指挥，分散进入考场，进、出考场或如厕时均须与他人保持1米以上距离，避免近距离接触交流。</w:t>
      </w:r>
    </w:p>
    <w:p>
      <w:pPr>
        <w:overflowPunct w:val="0"/>
        <w:spacing w:line="560" w:lineRule="exact"/>
        <w:ind w:firstLine="640" w:firstLineChars="200"/>
        <w:rPr>
          <w:rFonts w:ascii="Times New Roman" w:hAnsi="Times New Roman" w:eastAsia="仿宋_GB2312"/>
          <w:color w:val="000000" w:themeColor="text1"/>
          <w:sz w:val="32"/>
          <w:szCs w:val="32"/>
          <w14:textFill>
            <w14:solidFill>
              <w14:schemeClr w14:val="tx1"/>
            </w14:solidFill>
          </w14:textFill>
        </w:rPr>
      </w:pPr>
      <w:r>
        <w:rPr>
          <w:rFonts w:hint="eastAsia" w:ascii="Times New Roman" w:hAnsi="Times New Roman" w:eastAsia="仿宋_GB2312" w:cs="方正仿宋_GBK"/>
          <w:sz w:val="32"/>
          <w:szCs w:val="32"/>
        </w:rPr>
        <w:t>（五）</w:t>
      </w:r>
      <w:r>
        <w:rPr>
          <w:rFonts w:hint="eastAsia" w:ascii="Times New Roman" w:hAnsi="Times New Roman" w:eastAsia="仿宋_GB2312"/>
          <w:color w:val="000000" w:themeColor="text1"/>
          <w:sz w:val="32"/>
          <w:szCs w:val="32"/>
          <w14:textFill>
            <w14:solidFill>
              <w14:schemeClr w14:val="tx1"/>
            </w14:solidFill>
          </w14:textFill>
        </w:rPr>
        <w:t>所有考生均须进行考后7天健康监测。如有发热或新冠肺炎疑似症状等异常的，应及时就医排除新冠肺炎，并向所在学校报告有关情况。报告主要内容为：姓名、准考证号、身份证号、联系电话、异常情况（①有发热等症状，经诊断确诊为新冠肺炎；②有发热等症状，经诊断排除新冠肺炎；③其他情况）。</w:t>
      </w:r>
      <w:r>
        <w:rPr>
          <w:rFonts w:hint="eastAsia" w:ascii="Times New Roman" w:hAnsi="Times New Roman" w:eastAsia="仿宋_GB2312" w:cs="Times New Roman"/>
          <w:bCs/>
          <w:color w:val="000000" w:themeColor="text1"/>
          <w:sz w:val="32"/>
          <w:szCs w:val="32"/>
          <w14:textFill>
            <w14:solidFill>
              <w14:schemeClr w14:val="tx1"/>
            </w14:solidFill>
          </w14:textFill>
        </w:rPr>
        <w:t>具有</w:t>
      </w:r>
      <w:r>
        <w:rPr>
          <w:rFonts w:hint="eastAsia" w:ascii="Times New Roman" w:hAnsi="Times New Roman" w:eastAsia="仿宋_GB2312"/>
          <w:color w:val="000000" w:themeColor="text1"/>
          <w:sz w:val="32"/>
          <w:szCs w:val="32"/>
          <w14:textFill>
            <w14:solidFill>
              <w14:schemeClr w14:val="tx1"/>
            </w14:solidFill>
          </w14:textFill>
        </w:rPr>
        <w:t>中高风险区（以国务院客户端每日发布为准）、市防控指挥部确定的重点涉疫区和发生本土疫情所在地市及感染者关联轨迹区</w:t>
      </w:r>
      <w:r>
        <w:rPr>
          <w:rFonts w:hint="eastAsia" w:ascii="Times New Roman" w:hAnsi="Times New Roman" w:eastAsia="仿宋_GB2312" w:cs="Times New Roman"/>
          <w:sz w:val="32"/>
          <w:szCs w:val="32"/>
        </w:rPr>
        <w:t>（</w:t>
      </w:r>
      <w:r>
        <w:rPr>
          <w:rFonts w:hint="eastAsia" w:ascii="Times New Roman" w:hAnsi="Times New Roman" w:eastAsia="仿宋_GB2312"/>
          <w:color w:val="000000" w:themeColor="text1"/>
          <w:sz w:val="32"/>
          <w:szCs w:val="32"/>
          <w14:textFill>
            <w14:solidFill>
              <w14:schemeClr w14:val="tx1"/>
            </w14:solidFill>
          </w14:textFill>
        </w:rPr>
        <w:t>以津云客户端每日发布为准</w:t>
      </w:r>
      <w:r>
        <w:rPr>
          <w:rFonts w:hint="eastAsia" w:ascii="Times New Roman" w:hAnsi="Times New Roman" w:eastAsia="仿宋_GB2312" w:cs="Times New Roman"/>
          <w:sz w:val="32"/>
          <w:szCs w:val="32"/>
        </w:rPr>
        <w:t>）</w:t>
      </w:r>
      <w:r>
        <w:rPr>
          <w:rFonts w:hint="eastAsia" w:ascii="Times New Roman" w:hAnsi="Times New Roman" w:eastAsia="仿宋_GB2312" w:cs="Times New Roman"/>
          <w:bCs/>
          <w:color w:val="000000" w:themeColor="text1"/>
          <w:sz w:val="32"/>
          <w:szCs w:val="32"/>
          <w14:textFill>
            <w14:solidFill>
              <w14:schemeClr w14:val="tx1"/>
            </w14:solidFill>
          </w14:textFill>
        </w:rPr>
        <w:t>旅居史</w:t>
      </w:r>
      <w:r>
        <w:rPr>
          <w:rFonts w:hint="eastAsia" w:ascii="Times New Roman" w:hAnsi="Times New Roman" w:eastAsia="仿宋_GB2312"/>
          <w:color w:val="000000" w:themeColor="text1"/>
          <w:sz w:val="32"/>
          <w:szCs w:val="32"/>
          <w14:textFill>
            <w14:solidFill>
              <w14:schemeClr w14:val="tx1"/>
            </w14:solidFill>
          </w14:textFill>
        </w:rPr>
        <w:t>的考生，须于考试后第1日和第3日进行核酸检测，并将核酸检测阴性证明上报考点。</w:t>
      </w:r>
    </w:p>
    <w:p>
      <w:pPr>
        <w:overflowPunct w:val="0"/>
        <w:spacing w:line="560" w:lineRule="exact"/>
        <w:ind w:firstLine="640" w:firstLineChars="200"/>
        <w:rPr>
          <w:rFonts w:ascii="黑体" w:hAnsi="黑体" w:eastAsia="黑体" w:cs="黑体"/>
          <w:sz w:val="32"/>
          <w:szCs w:val="32"/>
        </w:rPr>
      </w:pPr>
      <w:r>
        <w:rPr>
          <w:rFonts w:hint="eastAsia" w:ascii="黑体" w:hAnsi="黑体" w:eastAsia="黑体" w:cs="黑体"/>
          <w:sz w:val="32"/>
          <w:szCs w:val="32"/>
        </w:rPr>
        <w:t>三、特别提示</w:t>
      </w:r>
    </w:p>
    <w:p>
      <w:pPr>
        <w:overflowPunct w:val="0"/>
        <w:spacing w:line="560" w:lineRule="exact"/>
        <w:ind w:firstLine="640" w:firstLineChars="200"/>
        <w:rPr>
          <w:rFonts w:ascii="Times New Roman" w:hAnsi="Times New Roman" w:eastAsia="仿宋_GB2312" w:cs="方正仿宋_GBK"/>
          <w:sz w:val="32"/>
          <w:szCs w:val="32"/>
        </w:rPr>
      </w:pPr>
      <w:r>
        <w:rPr>
          <w:rFonts w:hint="eastAsia" w:ascii="Times New Roman" w:hAnsi="Times New Roman" w:eastAsia="仿宋_GB2312" w:cs="方正仿宋_GBK"/>
          <w:sz w:val="32"/>
          <w:szCs w:val="32"/>
        </w:rPr>
        <w:t>（一）考生须严格遵守我市疫情防控的各项要求，</w:t>
      </w:r>
      <w:r>
        <w:rPr>
          <w:rFonts w:hint="eastAsia" w:ascii="仿宋_GB2312" w:hAnsi="Times New Roman" w:eastAsia="仿宋_GB2312" w:cs="仿宋_GB2312"/>
          <w:color w:val="000000"/>
          <w:sz w:val="31"/>
          <w:szCs w:val="31"/>
          <w:shd w:val="clear" w:color="auto" w:fill="FFFFFF"/>
        </w:rPr>
        <w:t>自觉加强个人防护，主动减少外出和聚集，</w:t>
      </w:r>
      <w:r>
        <w:rPr>
          <w:rFonts w:hint="eastAsia" w:ascii="Times New Roman" w:hAnsi="Times New Roman" w:eastAsia="仿宋_GB2312" w:cs="方正仿宋_GBK"/>
          <w:sz w:val="32"/>
          <w:szCs w:val="32"/>
        </w:rPr>
        <w:t>考前避免前往国（境）外及国内疫情中高风险区，不到人员密集及人群流动性较大场所活动，避免与有疫情风险的人员接触，最大限度降低疫情风险。</w:t>
      </w:r>
    </w:p>
    <w:p>
      <w:pPr>
        <w:spacing w:line="560" w:lineRule="exact"/>
        <w:ind w:firstLine="640" w:firstLineChars="200"/>
        <w:rPr>
          <w:rFonts w:ascii="Times New Roman" w:hAnsi="Times New Roman" w:eastAsia="仿宋_GB2312" w:cs="方正仿宋_GBK"/>
          <w:sz w:val="32"/>
          <w:szCs w:val="32"/>
        </w:rPr>
      </w:pPr>
      <w:r>
        <w:rPr>
          <w:rFonts w:hint="eastAsia" w:ascii="Times New Roman" w:hAnsi="Times New Roman" w:eastAsia="仿宋_GB2312" w:cs="方正仿宋_GBK"/>
          <w:sz w:val="32"/>
          <w:szCs w:val="32"/>
        </w:rPr>
        <w:t>（二）凡隐瞒病情或者不如实报告发热史、旅行史（旅居史）和接触史等信息，以及拒不配合考场疫情防控工作的考生，将被取消考试资格，并按照《治安管理处罚法》《传染病防治法》和《关于依法惩治妨害新型冠状病毒感染肺炎疫情防控违法犯罪的意见》等法律法规予以处理。</w:t>
      </w:r>
    </w:p>
    <w:p>
      <w:pPr>
        <w:spacing w:line="560" w:lineRule="exact"/>
        <w:ind w:firstLine="640" w:firstLineChars="200"/>
        <w:rPr>
          <w:rFonts w:ascii="Times New Roman" w:hAnsi="Times New Roman" w:eastAsia="仿宋_GB2312" w:cs="方正仿宋_GBK"/>
          <w:sz w:val="32"/>
          <w:szCs w:val="32"/>
        </w:rPr>
      </w:pPr>
      <w:r>
        <w:rPr>
          <w:rFonts w:hint="eastAsia" w:ascii="Times New Roman" w:hAnsi="Times New Roman" w:eastAsia="仿宋_GB2312" w:cs="Times New Roman"/>
          <w:color w:val="000000" w:themeColor="text1"/>
          <w:sz w:val="32"/>
          <w:szCs w:val="32"/>
          <w14:textFill>
            <w14:solidFill>
              <w14:schemeClr w14:val="tx1"/>
            </w14:solidFill>
          </w14:textFill>
        </w:rPr>
        <w:t>（三）考生确因疫情防控执行隔离管控措施，无法正常参加考试</w:t>
      </w:r>
      <w:r>
        <w:rPr>
          <w:rFonts w:ascii="Times New Roman" w:hAnsi="Times New Roman" w:eastAsia="仿宋_GB2312" w:cs="Times New Roman"/>
          <w:color w:val="000000" w:themeColor="text1"/>
          <w:sz w:val="32"/>
          <w:szCs w:val="32"/>
          <w14:textFill>
            <w14:solidFill>
              <w14:schemeClr w14:val="tx1"/>
            </w14:solidFill>
          </w14:textFill>
        </w:rPr>
        <w:t>，</w:t>
      </w:r>
      <w:r>
        <w:rPr>
          <w:rFonts w:hint="eastAsia" w:ascii="Times New Roman" w:hAnsi="Times New Roman" w:eastAsia="仿宋_GB2312" w:cs="Times New Roman"/>
          <w:sz w:val="32"/>
          <w:szCs w:val="32"/>
        </w:rPr>
        <w:t>可于考前向考点提交书面说明</w:t>
      </w:r>
      <w:r>
        <w:rPr>
          <w:rFonts w:hint="eastAsia" w:ascii="Times New Roman" w:hAnsi="Times New Roman" w:eastAsia="仿宋_GB2312" w:cs="仿宋_GB2312"/>
          <w:color w:val="000000" w:themeColor="text1"/>
          <w:sz w:val="32"/>
          <w:szCs w:val="32"/>
          <w14:textFill>
            <w14:solidFill>
              <w14:schemeClr w14:val="tx1"/>
            </w14:solidFill>
          </w14:textFill>
        </w:rPr>
        <w:t>。</w:t>
      </w:r>
    </w:p>
    <w:p>
      <w:pPr>
        <w:spacing w:line="560" w:lineRule="exact"/>
        <w:ind w:firstLine="640" w:firstLineChars="200"/>
        <w:rPr>
          <w:rFonts w:ascii="Times New Roman" w:hAnsi="Times New Roman" w:eastAsia="仿宋_GB2312" w:cs="方正仿宋_GBK"/>
          <w:sz w:val="32"/>
          <w:szCs w:val="32"/>
        </w:rPr>
      </w:pPr>
      <w:r>
        <w:rPr>
          <w:rFonts w:hint="eastAsia" w:ascii="Times New Roman" w:hAnsi="Times New Roman" w:eastAsia="仿宋_GB2312" w:cs="方正仿宋_GBK"/>
          <w:sz w:val="32"/>
          <w:szCs w:val="32"/>
        </w:rPr>
        <w:t>（四）考试安排和疫情防控措施将根据疫情防控形势变化适时调整，请考生密切关注各考点发布的信息，及时了解相关要求。</w:t>
      </w: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ourier New">
    <w:panose1 w:val="02070309020205020404"/>
    <w:charset w:val="00"/>
    <w:family w:val="modern"/>
    <w:pitch w:val="default"/>
    <w:sig w:usb0="E0002AFF" w:usb1="C0007843" w:usb2="00000009" w:usb3="00000000" w:csb0="400001FF" w:csb1="FFFF0000"/>
  </w:font>
  <w:font w:name="Arial">
    <w:panose1 w:val="020B0604020202020204"/>
    <w:charset w:val="00"/>
    <w:family w:val="swiss"/>
    <w:pitch w:val="default"/>
    <w:sig w:usb0="E0002AFF" w:usb1="C0007843" w:usb2="00000009" w:usb3="00000000" w:csb0="400001FF" w:csb1="FFFF0000"/>
  </w:font>
  <w:font w:name="仿宋_GB2312">
    <w:panose1 w:val="02010609030101010101"/>
    <w:charset w:val="86"/>
    <w:family w:val="modern"/>
    <w:pitch w:val="default"/>
    <w:sig w:usb0="00000001" w:usb1="080E0000" w:usb2="00000000" w:usb3="00000000" w:csb0="00040000" w:csb1="00000000"/>
  </w:font>
  <w:font w:name="TimesNewRomanPSMT">
    <w:altName w:val="Times New Roman"/>
    <w:panose1 w:val="00000000000000000000"/>
    <w:charset w:val="00"/>
    <w:family w:val="roman"/>
    <w:pitch w:val="default"/>
    <w:sig w:usb0="00000000" w:usb1="00000000" w:usb2="00000000" w:usb3="00000000" w:csb0="00000000" w:csb1="00000000"/>
  </w:font>
  <w:font w:name="方正小标宋简体">
    <w:panose1 w:val="03000509000000000000"/>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_GB2312">
    <w:panose1 w:val="02010609030101010101"/>
    <w:charset w:val="86"/>
    <w:family w:val="modern"/>
    <w:pitch w:val="default"/>
    <w:sig w:usb0="00000001" w:usb1="080E0000" w:usb2="00000000" w:usb3="00000000" w:csb0="00040000" w:csb1="00000000"/>
  </w:font>
  <w:font w:name="方正仿宋_GBK">
    <w:altName w:val="微软雅黑"/>
    <w:panose1 w:val="00000000000000000000"/>
    <w:charset w:val="86"/>
    <w:family w:val="script"/>
    <w:pitch w:val="default"/>
    <w:sig w:usb0="00000000" w:usb1="00000000" w:usb2="0000000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01692232"/>
    </w:sdtPr>
    <w:sdtContent>
      <w:p>
        <w:pPr>
          <w:pStyle w:val="6"/>
          <w:jc w:val="center"/>
        </w:pPr>
        <w:r>
          <w:fldChar w:fldCharType="begin"/>
        </w:r>
        <w:r>
          <w:instrText xml:space="preserve"> PAGE   \* MERGEFORMAT </w:instrText>
        </w:r>
        <w:r>
          <w:fldChar w:fldCharType="separate"/>
        </w:r>
        <w:r>
          <w:rPr>
            <w:lang w:val="zh-CN"/>
          </w:rPr>
          <w:t>1</w:t>
        </w:r>
        <w:r>
          <w:rPr>
            <w:lang w:val="zh-CN"/>
          </w:rPr>
          <w:fldChar w:fldCharType="end"/>
        </w:r>
      </w:p>
    </w:sdtContent>
  </w:sdt>
  <w:p>
    <w:pPr>
      <w:pStyle w:val="6"/>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QyMjQ2YzZiZmQ5YWIwMzUzMzQ3N2NmYjk5MDRjMzYifQ=="/>
  </w:docVars>
  <w:rsids>
    <w:rsidRoot w:val="00270570"/>
    <w:rsid w:val="00005A11"/>
    <w:rsid w:val="000124A3"/>
    <w:rsid w:val="000142F2"/>
    <w:rsid w:val="00032F33"/>
    <w:rsid w:val="000332DE"/>
    <w:rsid w:val="000454CF"/>
    <w:rsid w:val="00046242"/>
    <w:rsid w:val="000556AC"/>
    <w:rsid w:val="0006070D"/>
    <w:rsid w:val="0006248B"/>
    <w:rsid w:val="000624EF"/>
    <w:rsid w:val="00065EA3"/>
    <w:rsid w:val="00071EB5"/>
    <w:rsid w:val="00075194"/>
    <w:rsid w:val="00086087"/>
    <w:rsid w:val="00096389"/>
    <w:rsid w:val="000A7425"/>
    <w:rsid w:val="000B1371"/>
    <w:rsid w:val="000B22E9"/>
    <w:rsid w:val="000B6D3A"/>
    <w:rsid w:val="000B782D"/>
    <w:rsid w:val="000D4E20"/>
    <w:rsid w:val="000D63A2"/>
    <w:rsid w:val="000E429D"/>
    <w:rsid w:val="000E4B76"/>
    <w:rsid w:val="00103E28"/>
    <w:rsid w:val="00113D30"/>
    <w:rsid w:val="001219C0"/>
    <w:rsid w:val="00132A0B"/>
    <w:rsid w:val="00144557"/>
    <w:rsid w:val="00146613"/>
    <w:rsid w:val="00146DBE"/>
    <w:rsid w:val="00151B0F"/>
    <w:rsid w:val="00153966"/>
    <w:rsid w:val="00154F1D"/>
    <w:rsid w:val="00157B0B"/>
    <w:rsid w:val="001627BD"/>
    <w:rsid w:val="0016542C"/>
    <w:rsid w:val="00165FE4"/>
    <w:rsid w:val="001753DA"/>
    <w:rsid w:val="001801E7"/>
    <w:rsid w:val="00180DE4"/>
    <w:rsid w:val="0018325D"/>
    <w:rsid w:val="0018496C"/>
    <w:rsid w:val="00191E7D"/>
    <w:rsid w:val="001A7B46"/>
    <w:rsid w:val="001B3B09"/>
    <w:rsid w:val="001B55FE"/>
    <w:rsid w:val="001C10A5"/>
    <w:rsid w:val="001C3F6C"/>
    <w:rsid w:val="001C57B5"/>
    <w:rsid w:val="001C5F68"/>
    <w:rsid w:val="001C7DDF"/>
    <w:rsid w:val="001D06AA"/>
    <w:rsid w:val="001E3382"/>
    <w:rsid w:val="001E4765"/>
    <w:rsid w:val="001F04A1"/>
    <w:rsid w:val="001F6281"/>
    <w:rsid w:val="002009FA"/>
    <w:rsid w:val="002031F4"/>
    <w:rsid w:val="002033E7"/>
    <w:rsid w:val="00210CD3"/>
    <w:rsid w:val="00211396"/>
    <w:rsid w:val="00214F14"/>
    <w:rsid w:val="00235968"/>
    <w:rsid w:val="002410A2"/>
    <w:rsid w:val="00244534"/>
    <w:rsid w:val="00247114"/>
    <w:rsid w:val="0025027E"/>
    <w:rsid w:val="0025391F"/>
    <w:rsid w:val="00265E04"/>
    <w:rsid w:val="00270570"/>
    <w:rsid w:val="0027417D"/>
    <w:rsid w:val="0029184E"/>
    <w:rsid w:val="002A1AE4"/>
    <w:rsid w:val="002C25FE"/>
    <w:rsid w:val="002D7022"/>
    <w:rsid w:val="002E1B42"/>
    <w:rsid w:val="002F298D"/>
    <w:rsid w:val="002F2CEA"/>
    <w:rsid w:val="002F433D"/>
    <w:rsid w:val="003020E6"/>
    <w:rsid w:val="0031219A"/>
    <w:rsid w:val="00316A6E"/>
    <w:rsid w:val="00323B34"/>
    <w:rsid w:val="00327A7F"/>
    <w:rsid w:val="00327EF4"/>
    <w:rsid w:val="003321DB"/>
    <w:rsid w:val="0033287A"/>
    <w:rsid w:val="00336516"/>
    <w:rsid w:val="00336A4F"/>
    <w:rsid w:val="00337722"/>
    <w:rsid w:val="00354CFB"/>
    <w:rsid w:val="00362576"/>
    <w:rsid w:val="00364126"/>
    <w:rsid w:val="00365192"/>
    <w:rsid w:val="0036566F"/>
    <w:rsid w:val="00376DD9"/>
    <w:rsid w:val="00381639"/>
    <w:rsid w:val="00381B9F"/>
    <w:rsid w:val="003830E4"/>
    <w:rsid w:val="003844F4"/>
    <w:rsid w:val="003900B2"/>
    <w:rsid w:val="00396FD1"/>
    <w:rsid w:val="003B36F0"/>
    <w:rsid w:val="003D0A04"/>
    <w:rsid w:val="003D4350"/>
    <w:rsid w:val="003E1E6B"/>
    <w:rsid w:val="003F3D6C"/>
    <w:rsid w:val="003F6BA3"/>
    <w:rsid w:val="0040071C"/>
    <w:rsid w:val="00405257"/>
    <w:rsid w:val="0040588B"/>
    <w:rsid w:val="00407042"/>
    <w:rsid w:val="00415A8C"/>
    <w:rsid w:val="0041779B"/>
    <w:rsid w:val="0041792C"/>
    <w:rsid w:val="004338C8"/>
    <w:rsid w:val="00434914"/>
    <w:rsid w:val="00443E63"/>
    <w:rsid w:val="00450D64"/>
    <w:rsid w:val="00457DA6"/>
    <w:rsid w:val="004679E0"/>
    <w:rsid w:val="00472983"/>
    <w:rsid w:val="00473385"/>
    <w:rsid w:val="00477ACC"/>
    <w:rsid w:val="00483B64"/>
    <w:rsid w:val="004845B8"/>
    <w:rsid w:val="0048778F"/>
    <w:rsid w:val="004A29F7"/>
    <w:rsid w:val="004A3042"/>
    <w:rsid w:val="004B2739"/>
    <w:rsid w:val="004B3E97"/>
    <w:rsid w:val="004B4FAD"/>
    <w:rsid w:val="004B515E"/>
    <w:rsid w:val="004B7C8D"/>
    <w:rsid w:val="004C1F84"/>
    <w:rsid w:val="004D24B2"/>
    <w:rsid w:val="004D24C6"/>
    <w:rsid w:val="004E1D2F"/>
    <w:rsid w:val="004E25B1"/>
    <w:rsid w:val="004E3619"/>
    <w:rsid w:val="004E36B2"/>
    <w:rsid w:val="004E5EE0"/>
    <w:rsid w:val="004F56E5"/>
    <w:rsid w:val="004F5949"/>
    <w:rsid w:val="004F5C73"/>
    <w:rsid w:val="0050101C"/>
    <w:rsid w:val="005028A4"/>
    <w:rsid w:val="005045E2"/>
    <w:rsid w:val="00510993"/>
    <w:rsid w:val="00520321"/>
    <w:rsid w:val="00526AE2"/>
    <w:rsid w:val="005342C2"/>
    <w:rsid w:val="00553523"/>
    <w:rsid w:val="005605E5"/>
    <w:rsid w:val="005609DD"/>
    <w:rsid w:val="0056193E"/>
    <w:rsid w:val="005674FF"/>
    <w:rsid w:val="00573CBB"/>
    <w:rsid w:val="00581A24"/>
    <w:rsid w:val="0058502D"/>
    <w:rsid w:val="00586237"/>
    <w:rsid w:val="00591412"/>
    <w:rsid w:val="00592236"/>
    <w:rsid w:val="0059295A"/>
    <w:rsid w:val="00594F5B"/>
    <w:rsid w:val="00595333"/>
    <w:rsid w:val="005A3A1C"/>
    <w:rsid w:val="005B4B2B"/>
    <w:rsid w:val="005B7DCF"/>
    <w:rsid w:val="005C4685"/>
    <w:rsid w:val="005C4D1F"/>
    <w:rsid w:val="005D090D"/>
    <w:rsid w:val="005D4CB3"/>
    <w:rsid w:val="005E2ED5"/>
    <w:rsid w:val="005E32FD"/>
    <w:rsid w:val="005E5EB7"/>
    <w:rsid w:val="005F3034"/>
    <w:rsid w:val="005F3254"/>
    <w:rsid w:val="005F5E05"/>
    <w:rsid w:val="006051B9"/>
    <w:rsid w:val="0060680D"/>
    <w:rsid w:val="00610724"/>
    <w:rsid w:val="00612B6E"/>
    <w:rsid w:val="0061723E"/>
    <w:rsid w:val="006229C6"/>
    <w:rsid w:val="00636013"/>
    <w:rsid w:val="006468E9"/>
    <w:rsid w:val="006470E9"/>
    <w:rsid w:val="00654004"/>
    <w:rsid w:val="006626C8"/>
    <w:rsid w:val="00666FD4"/>
    <w:rsid w:val="00671682"/>
    <w:rsid w:val="00672BC5"/>
    <w:rsid w:val="0067349C"/>
    <w:rsid w:val="006749F9"/>
    <w:rsid w:val="006A16F8"/>
    <w:rsid w:val="006B1A38"/>
    <w:rsid w:val="006B74E9"/>
    <w:rsid w:val="006D01BB"/>
    <w:rsid w:val="006E170C"/>
    <w:rsid w:val="006E2F89"/>
    <w:rsid w:val="006E414A"/>
    <w:rsid w:val="006F2E28"/>
    <w:rsid w:val="006F344C"/>
    <w:rsid w:val="006F624E"/>
    <w:rsid w:val="00705E6B"/>
    <w:rsid w:val="0071127D"/>
    <w:rsid w:val="00723D51"/>
    <w:rsid w:val="0072431D"/>
    <w:rsid w:val="00731D41"/>
    <w:rsid w:val="00732C8E"/>
    <w:rsid w:val="00735BA7"/>
    <w:rsid w:val="00736BED"/>
    <w:rsid w:val="00741A62"/>
    <w:rsid w:val="00742675"/>
    <w:rsid w:val="00742A49"/>
    <w:rsid w:val="007475FE"/>
    <w:rsid w:val="007509BB"/>
    <w:rsid w:val="00760EC4"/>
    <w:rsid w:val="00761A84"/>
    <w:rsid w:val="007629E5"/>
    <w:rsid w:val="0076733C"/>
    <w:rsid w:val="00767758"/>
    <w:rsid w:val="0077167D"/>
    <w:rsid w:val="00775C0D"/>
    <w:rsid w:val="00791975"/>
    <w:rsid w:val="007928AB"/>
    <w:rsid w:val="007A1A08"/>
    <w:rsid w:val="007A32BB"/>
    <w:rsid w:val="007B0CD8"/>
    <w:rsid w:val="007B1A6F"/>
    <w:rsid w:val="007B3AE1"/>
    <w:rsid w:val="007B6A2C"/>
    <w:rsid w:val="007C3905"/>
    <w:rsid w:val="007D3B6D"/>
    <w:rsid w:val="007D62B1"/>
    <w:rsid w:val="007D73A5"/>
    <w:rsid w:val="007F0526"/>
    <w:rsid w:val="007F3A75"/>
    <w:rsid w:val="00800939"/>
    <w:rsid w:val="00810D90"/>
    <w:rsid w:val="008326ED"/>
    <w:rsid w:val="0083490F"/>
    <w:rsid w:val="00837F2E"/>
    <w:rsid w:val="00840C27"/>
    <w:rsid w:val="00841E5D"/>
    <w:rsid w:val="00843A5A"/>
    <w:rsid w:val="00847AEA"/>
    <w:rsid w:val="00851192"/>
    <w:rsid w:val="00852A7B"/>
    <w:rsid w:val="00854E18"/>
    <w:rsid w:val="00860F15"/>
    <w:rsid w:val="00861711"/>
    <w:rsid w:val="00861BA9"/>
    <w:rsid w:val="00864C06"/>
    <w:rsid w:val="00864D44"/>
    <w:rsid w:val="00871382"/>
    <w:rsid w:val="00877754"/>
    <w:rsid w:val="0088027F"/>
    <w:rsid w:val="008813D1"/>
    <w:rsid w:val="008857DC"/>
    <w:rsid w:val="008875E2"/>
    <w:rsid w:val="00893929"/>
    <w:rsid w:val="008977CD"/>
    <w:rsid w:val="008A3733"/>
    <w:rsid w:val="008B010E"/>
    <w:rsid w:val="008B3351"/>
    <w:rsid w:val="008C210A"/>
    <w:rsid w:val="008D6FA6"/>
    <w:rsid w:val="008E1097"/>
    <w:rsid w:val="008E314E"/>
    <w:rsid w:val="008E5970"/>
    <w:rsid w:val="008F2A79"/>
    <w:rsid w:val="008F65FD"/>
    <w:rsid w:val="008F70A9"/>
    <w:rsid w:val="009009C0"/>
    <w:rsid w:val="0090719C"/>
    <w:rsid w:val="009075C4"/>
    <w:rsid w:val="00915DB1"/>
    <w:rsid w:val="0092478C"/>
    <w:rsid w:val="00924BE0"/>
    <w:rsid w:val="00927379"/>
    <w:rsid w:val="00927A6E"/>
    <w:rsid w:val="00927DB8"/>
    <w:rsid w:val="00933338"/>
    <w:rsid w:val="00942125"/>
    <w:rsid w:val="00946968"/>
    <w:rsid w:val="00953566"/>
    <w:rsid w:val="009605C1"/>
    <w:rsid w:val="00962AC3"/>
    <w:rsid w:val="009630E8"/>
    <w:rsid w:val="009670F2"/>
    <w:rsid w:val="0097067A"/>
    <w:rsid w:val="00970A0D"/>
    <w:rsid w:val="00971740"/>
    <w:rsid w:val="009751D9"/>
    <w:rsid w:val="00977B16"/>
    <w:rsid w:val="00985BDA"/>
    <w:rsid w:val="00987641"/>
    <w:rsid w:val="00993D96"/>
    <w:rsid w:val="009B6BE3"/>
    <w:rsid w:val="009C0831"/>
    <w:rsid w:val="009C1310"/>
    <w:rsid w:val="009C6D60"/>
    <w:rsid w:val="009D0AFB"/>
    <w:rsid w:val="009D1F7A"/>
    <w:rsid w:val="009D36D8"/>
    <w:rsid w:val="009F0929"/>
    <w:rsid w:val="00A049D5"/>
    <w:rsid w:val="00A12399"/>
    <w:rsid w:val="00A1242E"/>
    <w:rsid w:val="00A15EE2"/>
    <w:rsid w:val="00A1620C"/>
    <w:rsid w:val="00A16F20"/>
    <w:rsid w:val="00A263DC"/>
    <w:rsid w:val="00A36582"/>
    <w:rsid w:val="00A425F7"/>
    <w:rsid w:val="00A43BD7"/>
    <w:rsid w:val="00A475BA"/>
    <w:rsid w:val="00A47670"/>
    <w:rsid w:val="00A61D3A"/>
    <w:rsid w:val="00A65372"/>
    <w:rsid w:val="00A66D8B"/>
    <w:rsid w:val="00A67C9B"/>
    <w:rsid w:val="00A70D4A"/>
    <w:rsid w:val="00A91CC6"/>
    <w:rsid w:val="00A9379D"/>
    <w:rsid w:val="00AA353A"/>
    <w:rsid w:val="00AB11BE"/>
    <w:rsid w:val="00AC09CD"/>
    <w:rsid w:val="00AD34C5"/>
    <w:rsid w:val="00AD3AAA"/>
    <w:rsid w:val="00AD47EF"/>
    <w:rsid w:val="00AD5250"/>
    <w:rsid w:val="00AD6805"/>
    <w:rsid w:val="00AD6B55"/>
    <w:rsid w:val="00AD7405"/>
    <w:rsid w:val="00AE38D0"/>
    <w:rsid w:val="00AE603D"/>
    <w:rsid w:val="00AF31C6"/>
    <w:rsid w:val="00B007D5"/>
    <w:rsid w:val="00B16431"/>
    <w:rsid w:val="00B172B6"/>
    <w:rsid w:val="00B25CF4"/>
    <w:rsid w:val="00B262C5"/>
    <w:rsid w:val="00B26557"/>
    <w:rsid w:val="00B458C4"/>
    <w:rsid w:val="00B46FF4"/>
    <w:rsid w:val="00B50037"/>
    <w:rsid w:val="00B51F63"/>
    <w:rsid w:val="00B57B6E"/>
    <w:rsid w:val="00B7013B"/>
    <w:rsid w:val="00B72FAE"/>
    <w:rsid w:val="00B836E2"/>
    <w:rsid w:val="00B933AD"/>
    <w:rsid w:val="00BA209D"/>
    <w:rsid w:val="00BA3323"/>
    <w:rsid w:val="00BB017F"/>
    <w:rsid w:val="00BB5FD3"/>
    <w:rsid w:val="00BB6278"/>
    <w:rsid w:val="00BB7004"/>
    <w:rsid w:val="00BC07F2"/>
    <w:rsid w:val="00BC0A54"/>
    <w:rsid w:val="00BD2817"/>
    <w:rsid w:val="00BE26CF"/>
    <w:rsid w:val="00BE3888"/>
    <w:rsid w:val="00C02084"/>
    <w:rsid w:val="00C02E2A"/>
    <w:rsid w:val="00C03844"/>
    <w:rsid w:val="00C03F06"/>
    <w:rsid w:val="00C115A1"/>
    <w:rsid w:val="00C120CE"/>
    <w:rsid w:val="00C1291A"/>
    <w:rsid w:val="00C13FC8"/>
    <w:rsid w:val="00C15677"/>
    <w:rsid w:val="00C15A44"/>
    <w:rsid w:val="00C164C2"/>
    <w:rsid w:val="00C16BF6"/>
    <w:rsid w:val="00C22205"/>
    <w:rsid w:val="00C256D7"/>
    <w:rsid w:val="00C26E04"/>
    <w:rsid w:val="00C30BFD"/>
    <w:rsid w:val="00C32291"/>
    <w:rsid w:val="00C33089"/>
    <w:rsid w:val="00C354F6"/>
    <w:rsid w:val="00C3638F"/>
    <w:rsid w:val="00C41BD3"/>
    <w:rsid w:val="00C42F07"/>
    <w:rsid w:val="00C44DA0"/>
    <w:rsid w:val="00C45301"/>
    <w:rsid w:val="00C47260"/>
    <w:rsid w:val="00C47E3A"/>
    <w:rsid w:val="00C50E54"/>
    <w:rsid w:val="00C5319E"/>
    <w:rsid w:val="00C56ECF"/>
    <w:rsid w:val="00C60027"/>
    <w:rsid w:val="00C647F4"/>
    <w:rsid w:val="00C64D7F"/>
    <w:rsid w:val="00C65EEC"/>
    <w:rsid w:val="00C663D5"/>
    <w:rsid w:val="00C7366C"/>
    <w:rsid w:val="00C76535"/>
    <w:rsid w:val="00C77EEE"/>
    <w:rsid w:val="00C83577"/>
    <w:rsid w:val="00C8361A"/>
    <w:rsid w:val="00C846FE"/>
    <w:rsid w:val="00C9154C"/>
    <w:rsid w:val="00C95937"/>
    <w:rsid w:val="00CA79E2"/>
    <w:rsid w:val="00CB2DD3"/>
    <w:rsid w:val="00CB40FA"/>
    <w:rsid w:val="00CC0D04"/>
    <w:rsid w:val="00CC3CC8"/>
    <w:rsid w:val="00CD61E4"/>
    <w:rsid w:val="00CE63E1"/>
    <w:rsid w:val="00CE6980"/>
    <w:rsid w:val="00CF1177"/>
    <w:rsid w:val="00CF4AB3"/>
    <w:rsid w:val="00CF5ADF"/>
    <w:rsid w:val="00D00644"/>
    <w:rsid w:val="00D00932"/>
    <w:rsid w:val="00D172B3"/>
    <w:rsid w:val="00D20EF9"/>
    <w:rsid w:val="00D211AD"/>
    <w:rsid w:val="00D21722"/>
    <w:rsid w:val="00D2714B"/>
    <w:rsid w:val="00D34EB4"/>
    <w:rsid w:val="00D37B13"/>
    <w:rsid w:val="00D43D10"/>
    <w:rsid w:val="00D4431B"/>
    <w:rsid w:val="00D4596B"/>
    <w:rsid w:val="00D517D3"/>
    <w:rsid w:val="00D55EA0"/>
    <w:rsid w:val="00D60464"/>
    <w:rsid w:val="00D81226"/>
    <w:rsid w:val="00D9226A"/>
    <w:rsid w:val="00D97F1E"/>
    <w:rsid w:val="00DA1FF4"/>
    <w:rsid w:val="00DA6010"/>
    <w:rsid w:val="00DB1AB0"/>
    <w:rsid w:val="00DB495B"/>
    <w:rsid w:val="00DB7991"/>
    <w:rsid w:val="00DC319D"/>
    <w:rsid w:val="00DC57D8"/>
    <w:rsid w:val="00DC7B1A"/>
    <w:rsid w:val="00DD5BF1"/>
    <w:rsid w:val="00DE404E"/>
    <w:rsid w:val="00DE4568"/>
    <w:rsid w:val="00DF7460"/>
    <w:rsid w:val="00E03CA8"/>
    <w:rsid w:val="00E05F46"/>
    <w:rsid w:val="00E06951"/>
    <w:rsid w:val="00E15E22"/>
    <w:rsid w:val="00E22364"/>
    <w:rsid w:val="00E24122"/>
    <w:rsid w:val="00E241D8"/>
    <w:rsid w:val="00E42BB0"/>
    <w:rsid w:val="00E433C4"/>
    <w:rsid w:val="00E5232E"/>
    <w:rsid w:val="00E61181"/>
    <w:rsid w:val="00E72C20"/>
    <w:rsid w:val="00E90F57"/>
    <w:rsid w:val="00E9193D"/>
    <w:rsid w:val="00EA6E3F"/>
    <w:rsid w:val="00EA79CD"/>
    <w:rsid w:val="00EB36E5"/>
    <w:rsid w:val="00EB6250"/>
    <w:rsid w:val="00EB718C"/>
    <w:rsid w:val="00EC2BA6"/>
    <w:rsid w:val="00EC767C"/>
    <w:rsid w:val="00ED068E"/>
    <w:rsid w:val="00EE27BA"/>
    <w:rsid w:val="00EF0D59"/>
    <w:rsid w:val="00EF181B"/>
    <w:rsid w:val="00EF3570"/>
    <w:rsid w:val="00EF623D"/>
    <w:rsid w:val="00F02D58"/>
    <w:rsid w:val="00F10322"/>
    <w:rsid w:val="00F14297"/>
    <w:rsid w:val="00F15637"/>
    <w:rsid w:val="00F176A0"/>
    <w:rsid w:val="00F25471"/>
    <w:rsid w:val="00F2756A"/>
    <w:rsid w:val="00F347F9"/>
    <w:rsid w:val="00F4267F"/>
    <w:rsid w:val="00F618B3"/>
    <w:rsid w:val="00F6307A"/>
    <w:rsid w:val="00F6407F"/>
    <w:rsid w:val="00F657DF"/>
    <w:rsid w:val="00F76CE2"/>
    <w:rsid w:val="00F77332"/>
    <w:rsid w:val="00F81551"/>
    <w:rsid w:val="00F82312"/>
    <w:rsid w:val="00F84BC2"/>
    <w:rsid w:val="00F860AF"/>
    <w:rsid w:val="00F865BF"/>
    <w:rsid w:val="00F90D29"/>
    <w:rsid w:val="00F90E0C"/>
    <w:rsid w:val="00F9430E"/>
    <w:rsid w:val="00FA0470"/>
    <w:rsid w:val="00FA545F"/>
    <w:rsid w:val="00FD047E"/>
    <w:rsid w:val="00FD19D5"/>
    <w:rsid w:val="00FD4FB8"/>
    <w:rsid w:val="00FF1117"/>
    <w:rsid w:val="07487E8E"/>
    <w:rsid w:val="11A040FA"/>
    <w:rsid w:val="11CF1433"/>
    <w:rsid w:val="16F95FA2"/>
    <w:rsid w:val="18281CF8"/>
    <w:rsid w:val="191D7204"/>
    <w:rsid w:val="2063638B"/>
    <w:rsid w:val="228355D7"/>
    <w:rsid w:val="2CF02660"/>
    <w:rsid w:val="367762A4"/>
    <w:rsid w:val="42C32401"/>
    <w:rsid w:val="4F18432E"/>
    <w:rsid w:val="55D10548"/>
    <w:rsid w:val="59B46F19"/>
    <w:rsid w:val="5C5061E9"/>
    <w:rsid w:val="5D1A1064"/>
    <w:rsid w:val="60D657E2"/>
    <w:rsid w:val="61001C81"/>
    <w:rsid w:val="678A0557"/>
    <w:rsid w:val="6B862F3E"/>
    <w:rsid w:val="7DFC1BF7"/>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nhideWhenUsed="0"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qFormat="1" w:unhideWhenUsed="0" w:uiPriority="0" w:semiHidden="0"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3"/>
    <w:basedOn w:val="1"/>
    <w:next w:val="1"/>
    <w:link w:val="24"/>
    <w:qFormat/>
    <w:uiPriority w:val="0"/>
    <w:pPr>
      <w:widowControl/>
      <w:spacing w:before="100" w:beforeAutospacing="1" w:after="100" w:afterAutospacing="1"/>
      <w:jc w:val="left"/>
      <w:outlineLvl w:val="2"/>
    </w:pPr>
    <w:rPr>
      <w:rFonts w:ascii="宋体" w:hAnsi="宋体" w:eastAsia="宋体" w:cs="宋体"/>
      <w:b/>
      <w:bCs/>
      <w:kern w:val="0"/>
      <w:sz w:val="27"/>
      <w:szCs w:val="27"/>
    </w:rPr>
  </w:style>
  <w:style w:type="character" w:default="1" w:styleId="11">
    <w:name w:val="Default Paragraph Font"/>
    <w:semiHidden/>
    <w:unhideWhenUsed/>
    <w:uiPriority w:val="1"/>
  </w:style>
  <w:style w:type="table" w:default="1" w:styleId="9">
    <w:name w:val="Normal Table"/>
    <w:semiHidden/>
    <w:unhideWhenUsed/>
    <w:uiPriority w:val="99"/>
    <w:tblPr>
      <w:tblCellMar>
        <w:top w:w="0" w:type="dxa"/>
        <w:left w:w="108" w:type="dxa"/>
        <w:bottom w:w="0" w:type="dxa"/>
        <w:right w:w="108" w:type="dxa"/>
      </w:tblCellMar>
    </w:tblPr>
  </w:style>
  <w:style w:type="paragraph" w:styleId="3">
    <w:name w:val="annotation text"/>
    <w:basedOn w:val="1"/>
    <w:link w:val="17"/>
    <w:unhideWhenUsed/>
    <w:qFormat/>
    <w:uiPriority w:val="99"/>
    <w:pPr>
      <w:jc w:val="left"/>
    </w:pPr>
  </w:style>
  <w:style w:type="paragraph" w:styleId="4">
    <w:name w:val="Plain Text"/>
    <w:basedOn w:val="1"/>
    <w:link w:val="23"/>
    <w:qFormat/>
    <w:uiPriority w:val="0"/>
    <w:rPr>
      <w:rFonts w:ascii="宋体" w:hAnsi="Courier New" w:eastAsia="宋体" w:cs="Times New Roman"/>
      <w:szCs w:val="21"/>
    </w:rPr>
  </w:style>
  <w:style w:type="paragraph" w:styleId="5">
    <w:name w:val="Balloon Text"/>
    <w:basedOn w:val="1"/>
    <w:link w:val="18"/>
    <w:semiHidden/>
    <w:unhideWhenUsed/>
    <w:qFormat/>
    <w:uiPriority w:val="99"/>
    <w:rPr>
      <w:sz w:val="18"/>
      <w:szCs w:val="18"/>
    </w:rPr>
  </w:style>
  <w:style w:type="paragraph" w:styleId="6">
    <w:name w:val="footer"/>
    <w:basedOn w:val="1"/>
    <w:link w:val="14"/>
    <w:unhideWhenUsed/>
    <w:qFormat/>
    <w:uiPriority w:val="99"/>
    <w:pPr>
      <w:tabs>
        <w:tab w:val="center" w:pos="4153"/>
        <w:tab w:val="right" w:pos="8306"/>
      </w:tabs>
      <w:snapToGrid w:val="0"/>
      <w:jc w:val="left"/>
    </w:pPr>
    <w:rPr>
      <w:sz w:val="18"/>
      <w:szCs w:val="18"/>
    </w:rPr>
  </w:style>
  <w:style w:type="paragraph" w:styleId="7">
    <w:name w:val="header"/>
    <w:basedOn w:val="1"/>
    <w:link w:val="13"/>
    <w:unhideWhenUsed/>
    <w:qFormat/>
    <w:uiPriority w:val="99"/>
    <w:pPr>
      <w:pBdr>
        <w:bottom w:val="single" w:color="auto" w:sz="6" w:space="1"/>
      </w:pBdr>
      <w:tabs>
        <w:tab w:val="center" w:pos="4153"/>
        <w:tab w:val="right" w:pos="8306"/>
      </w:tabs>
      <w:snapToGrid w:val="0"/>
      <w:jc w:val="center"/>
    </w:pPr>
    <w:rPr>
      <w:sz w:val="18"/>
      <w:szCs w:val="18"/>
    </w:rPr>
  </w:style>
  <w:style w:type="paragraph" w:styleId="8">
    <w:name w:val="Body Text 2"/>
    <w:basedOn w:val="1"/>
    <w:link w:val="15"/>
    <w:qFormat/>
    <w:uiPriority w:val="0"/>
    <w:rPr>
      <w:rFonts w:ascii="Times New Roman" w:hAnsi="Times New Roman" w:eastAsia="宋体" w:cs="Times New Roman"/>
      <w:b/>
      <w:bCs/>
      <w:i/>
      <w:iCs/>
      <w:sz w:val="18"/>
      <w:szCs w:val="24"/>
    </w:rPr>
  </w:style>
  <w:style w:type="table" w:styleId="10">
    <w:name w:val="Table Grid"/>
    <w:basedOn w:val="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2">
    <w:name w:val="annotation reference"/>
    <w:basedOn w:val="11"/>
    <w:unhideWhenUsed/>
    <w:qFormat/>
    <w:uiPriority w:val="99"/>
    <w:rPr>
      <w:sz w:val="21"/>
      <w:szCs w:val="21"/>
    </w:rPr>
  </w:style>
  <w:style w:type="character" w:customStyle="1" w:styleId="13">
    <w:name w:val="页眉 Char"/>
    <w:basedOn w:val="11"/>
    <w:link w:val="7"/>
    <w:qFormat/>
    <w:uiPriority w:val="99"/>
    <w:rPr>
      <w:sz w:val="18"/>
      <w:szCs w:val="18"/>
    </w:rPr>
  </w:style>
  <w:style w:type="character" w:customStyle="1" w:styleId="14">
    <w:name w:val="页脚 Char"/>
    <w:basedOn w:val="11"/>
    <w:link w:val="6"/>
    <w:qFormat/>
    <w:uiPriority w:val="99"/>
    <w:rPr>
      <w:sz w:val="18"/>
      <w:szCs w:val="18"/>
    </w:rPr>
  </w:style>
  <w:style w:type="character" w:customStyle="1" w:styleId="15">
    <w:name w:val="正文文本 2 Char"/>
    <w:basedOn w:val="11"/>
    <w:link w:val="8"/>
    <w:qFormat/>
    <w:uiPriority w:val="0"/>
    <w:rPr>
      <w:rFonts w:ascii="Times New Roman" w:hAnsi="Times New Roman" w:eastAsia="宋体" w:cs="Times New Roman"/>
      <w:b/>
      <w:bCs/>
      <w:i/>
      <w:iCs/>
      <w:sz w:val="18"/>
      <w:szCs w:val="24"/>
    </w:rPr>
  </w:style>
  <w:style w:type="paragraph" w:styleId="16">
    <w:name w:val="List Paragraph"/>
    <w:basedOn w:val="1"/>
    <w:unhideWhenUsed/>
    <w:qFormat/>
    <w:uiPriority w:val="99"/>
    <w:pPr>
      <w:ind w:firstLine="420" w:firstLineChars="200"/>
    </w:pPr>
  </w:style>
  <w:style w:type="character" w:customStyle="1" w:styleId="17">
    <w:name w:val="批注文字 Char"/>
    <w:basedOn w:val="11"/>
    <w:link w:val="3"/>
    <w:qFormat/>
    <w:uiPriority w:val="99"/>
    <w:rPr>
      <w:kern w:val="2"/>
      <w:sz w:val="21"/>
      <w:szCs w:val="22"/>
    </w:rPr>
  </w:style>
  <w:style w:type="character" w:customStyle="1" w:styleId="18">
    <w:name w:val="批注框文本 Char"/>
    <w:basedOn w:val="11"/>
    <w:link w:val="5"/>
    <w:semiHidden/>
    <w:qFormat/>
    <w:uiPriority w:val="99"/>
    <w:rPr>
      <w:kern w:val="2"/>
      <w:sz w:val="18"/>
      <w:szCs w:val="18"/>
    </w:rPr>
  </w:style>
  <w:style w:type="paragraph" w:customStyle="1" w:styleId="19">
    <w:name w:val="修订1"/>
    <w:hidden/>
    <w:unhideWhenUsed/>
    <w:qFormat/>
    <w:uiPriority w:val="99"/>
    <w:rPr>
      <w:rFonts w:asciiTheme="minorHAnsi" w:hAnsiTheme="minorHAnsi" w:eastAsiaTheme="minorEastAsia" w:cstheme="minorBidi"/>
      <w:kern w:val="2"/>
      <w:sz w:val="21"/>
      <w:szCs w:val="22"/>
      <w:lang w:val="en-US" w:eastAsia="zh-CN" w:bidi="ar-SA"/>
    </w:rPr>
  </w:style>
  <w:style w:type="character" w:customStyle="1" w:styleId="20">
    <w:name w:val="font21"/>
    <w:basedOn w:val="11"/>
    <w:qFormat/>
    <w:uiPriority w:val="0"/>
    <w:rPr>
      <w:rFonts w:ascii="Arial" w:hAnsi="Arial" w:cs="Arial"/>
      <w:color w:val="000000"/>
      <w:sz w:val="24"/>
      <w:szCs w:val="24"/>
      <w:u w:val="none"/>
    </w:rPr>
  </w:style>
  <w:style w:type="character" w:customStyle="1" w:styleId="21">
    <w:name w:val="font31"/>
    <w:basedOn w:val="11"/>
    <w:qFormat/>
    <w:uiPriority w:val="0"/>
    <w:rPr>
      <w:rFonts w:hint="eastAsia" w:ascii="宋体" w:hAnsi="宋体" w:eastAsia="宋体" w:cs="宋体"/>
      <w:color w:val="000000"/>
      <w:sz w:val="24"/>
      <w:szCs w:val="24"/>
      <w:u w:val="none"/>
    </w:rPr>
  </w:style>
  <w:style w:type="character" w:customStyle="1" w:styleId="22">
    <w:name w:val="纯文本 Char"/>
    <w:basedOn w:val="11"/>
    <w:semiHidden/>
    <w:qFormat/>
    <w:uiPriority w:val="99"/>
    <w:rPr>
      <w:rFonts w:ascii="宋体" w:hAnsi="Courier New" w:eastAsia="宋体" w:cs="Courier New"/>
      <w:kern w:val="2"/>
      <w:sz w:val="21"/>
      <w:szCs w:val="21"/>
    </w:rPr>
  </w:style>
  <w:style w:type="character" w:customStyle="1" w:styleId="23">
    <w:name w:val="纯文本 Char1"/>
    <w:link w:val="4"/>
    <w:qFormat/>
    <w:uiPriority w:val="0"/>
    <w:rPr>
      <w:rFonts w:ascii="宋体" w:hAnsi="Courier New" w:eastAsia="宋体" w:cs="Times New Roman"/>
      <w:kern w:val="2"/>
      <w:sz w:val="21"/>
      <w:szCs w:val="21"/>
    </w:rPr>
  </w:style>
  <w:style w:type="character" w:customStyle="1" w:styleId="24">
    <w:name w:val="标题 3 Char"/>
    <w:basedOn w:val="11"/>
    <w:link w:val="2"/>
    <w:qFormat/>
    <w:uiPriority w:val="0"/>
    <w:rPr>
      <w:rFonts w:ascii="宋体" w:hAnsi="宋体" w:eastAsia="宋体" w:cs="宋体"/>
      <w:b/>
      <w:bCs/>
      <w:sz w:val="27"/>
      <w:szCs w:val="27"/>
    </w:rPr>
  </w:style>
  <w:style w:type="character" w:customStyle="1" w:styleId="25">
    <w:name w:val="fontstyle01"/>
    <w:basedOn w:val="11"/>
    <w:qFormat/>
    <w:uiPriority w:val="0"/>
    <w:rPr>
      <w:rFonts w:hint="eastAsia" w:ascii="仿宋_GB2312" w:hAnsi="仿宋_GB2312" w:eastAsia="仿宋_GB2312"/>
      <w:color w:val="000000"/>
      <w:sz w:val="32"/>
      <w:szCs w:val="32"/>
    </w:rPr>
  </w:style>
  <w:style w:type="character" w:customStyle="1" w:styleId="26">
    <w:name w:val="fontstyle11"/>
    <w:basedOn w:val="11"/>
    <w:qFormat/>
    <w:uiPriority w:val="0"/>
    <w:rPr>
      <w:rFonts w:hint="default" w:ascii="TimesNewRomanPSMT" w:hAnsi="TimesNewRomanPSMT"/>
      <w:color w:val="000000"/>
      <w:sz w:val="32"/>
      <w:szCs w:val="32"/>
    </w:rPr>
  </w:style>
  <w:style w:type="character" w:customStyle="1" w:styleId="27">
    <w:name w:val="font11"/>
    <w:basedOn w:val="11"/>
    <w:qFormat/>
    <w:uiPriority w:val="0"/>
    <w:rPr>
      <w:rFonts w:hint="eastAsia" w:ascii="宋体" w:hAnsi="宋体" w:eastAsia="宋体" w:cs="宋体"/>
      <w:color w:val="000000"/>
      <w:sz w:val="22"/>
      <w:szCs w:val="22"/>
      <w:u w:val="non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C4ADA31-BAD3-40D8-9AAD-605CEDF17C13}">
  <ds:schemaRefs/>
</ds:datastoreItem>
</file>

<file path=docProps/app.xml><?xml version="1.0" encoding="utf-8"?>
<Properties xmlns="http://schemas.openxmlformats.org/officeDocument/2006/extended-properties" xmlns:vt="http://schemas.openxmlformats.org/officeDocument/2006/docPropsVTypes">
  <Template>Normal.dotm</Template>
  <Company>Sky123.Org</Company>
  <Pages>4</Pages>
  <Words>1746</Words>
  <Characters>1769</Characters>
  <Lines>12</Lines>
  <Paragraphs>3</Paragraphs>
  <TotalTime>0</TotalTime>
  <ScaleCrop>false</ScaleCrop>
  <LinksUpToDate>false</LinksUpToDate>
  <CharactersWithSpaces>1769</CharactersWithSpaces>
  <Application>WPS Office_11.1.0.12156_F1E327BC-269C-435d-A152-05C5408002CA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2022-09-06T05:49:00Z</dcterms:created>
  <dc:creator>微软用户</dc:creator>
  <cp:lastModifiedBy>Administrator</cp:lastModifiedBy>
  <cp:lastPrinted>2022-07-14T08:35:00Z</cp:lastPrinted>
  <dcterms:modified xsi:type="dcterms:W3CDTF">2022-09-07T01:01:30Z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2052-11.1.0.12156</vt:lpwstr>
  </property>
  <property fmtid="{D5CDD505-2E9C-101B-9397-08002B2CF9AE}" pid="3" name="ICV">
    <vt:lpwstr>C56F6F0A269F4998B18C46CB93CCE464</vt:lpwstr>
  </property>
</Properties>
</file>